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200594</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inter-cell beam management</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6.19.3.2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1"/>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impact for inter-cell beam management in FeMIMO was approved in [1], [2]:</w:t>
      </w:r>
      <w:r>
        <w:rPr>
          <w:rFonts w:hint="default" w:eastAsia="宋体"/>
          <w:color w:val="auto"/>
          <w:sz w:val="21"/>
          <w:szCs w:val="21"/>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4"/>
              </w:numPr>
              <w:ind w:left="840" w:leftChars="0" w:hanging="420" w:firstLineChars="0"/>
              <w:rPr>
                <w:rFonts w:hint="default"/>
                <w:lang w:val="en-US" w:eastAsia="zh-CN"/>
              </w:rPr>
            </w:pPr>
            <w:r>
              <w:rPr>
                <w:rFonts w:hint="default"/>
                <w:lang w:val="en-US" w:eastAsia="zh-CN"/>
              </w:rPr>
              <w:t>Define known/unknown cell condition for non-serving cell configured for L1-RSRP measurements</w:t>
            </w:r>
          </w:p>
          <w:p>
            <w:pPr>
              <w:numPr>
                <w:ilvl w:val="0"/>
                <w:numId w:val="4"/>
              </w:numPr>
              <w:ind w:left="840" w:leftChars="0" w:hanging="420" w:firstLineChars="0"/>
              <w:rPr>
                <w:rFonts w:hint="default"/>
                <w:lang w:val="en-US" w:eastAsia="zh-CN"/>
              </w:rPr>
            </w:pPr>
            <w:r>
              <w:rPr>
                <w:rFonts w:hint="default"/>
                <w:lang w:val="en-US" w:eastAsia="zh-CN"/>
              </w:rPr>
              <w:t xml:space="preserve">Measurement accuracy for serving cell L1-RSRP can be reused for L1-RSRP measurement for non-serving cell for inter-cell beam management </w:t>
            </w:r>
          </w:p>
          <w:p>
            <w:pPr>
              <w:numPr>
                <w:ilvl w:val="0"/>
                <w:numId w:val="4"/>
              </w:numPr>
              <w:ind w:left="840" w:leftChars="0" w:hanging="420" w:firstLineChars="0"/>
              <w:rPr>
                <w:rFonts w:hint="default"/>
                <w:lang w:val="en-US" w:eastAsia="zh-CN"/>
              </w:rPr>
            </w:pPr>
            <w:r>
              <w:rPr>
                <w:rFonts w:hint="default"/>
                <w:lang w:val="en-US" w:eastAsia="zh-CN"/>
              </w:rPr>
              <w:t>The L1-RSRP measurement requirements for non-serving cells are only applicable to SSB withing the active DL BWP of the UE.</w:t>
            </w:r>
          </w:p>
          <w:p>
            <w:pPr>
              <w:numPr>
                <w:ilvl w:val="0"/>
                <w:numId w:val="4"/>
              </w:numPr>
              <w:ind w:left="840" w:leftChars="0" w:hanging="420" w:firstLineChars="0"/>
              <w:rPr>
                <w:rFonts w:hint="default"/>
                <w:lang w:val="en-US" w:eastAsia="zh-CN"/>
              </w:rPr>
            </w:pPr>
            <w:r>
              <w:rPr>
                <w:rFonts w:hint="default"/>
                <w:lang w:val="en-US" w:eastAsia="zh-CN"/>
              </w:rPr>
              <w:t>RAN4 develops UE requirements for at least Nmax = 1, where Nmax is the maximum number of RRC configured PCIs different from the serving cell for measurement/reporting.</w:t>
            </w:r>
          </w:p>
          <w:p>
            <w:pPr>
              <w:numPr>
                <w:ilvl w:val="0"/>
                <w:numId w:val="4"/>
              </w:numPr>
              <w:ind w:left="840" w:leftChars="0" w:hanging="420" w:firstLineChars="0"/>
              <w:rPr>
                <w:rFonts w:hint="default"/>
                <w:lang w:val="en-US" w:eastAsia="zh-CN"/>
              </w:rPr>
            </w:pPr>
            <w:r>
              <w:rPr>
                <w:rFonts w:hint="default"/>
                <w:lang w:val="en-US" w:eastAsia="zh-CN"/>
              </w:rPr>
              <w:t xml:space="preserve">RAN4 will further study to specify the requirements for other Nmax value taking RAN1 decision into account </w:t>
            </w:r>
          </w:p>
          <w:p>
            <w:pPr>
              <w:numPr>
                <w:ilvl w:val="0"/>
                <w:numId w:val="4"/>
              </w:numPr>
              <w:ind w:left="840" w:leftChars="0" w:hanging="420" w:firstLineChars="0"/>
              <w:rPr>
                <w:rFonts w:hint="default"/>
                <w:lang w:val="en-US" w:eastAsia="zh-CN"/>
              </w:rPr>
            </w:pPr>
            <w:r>
              <w:rPr>
                <w:rFonts w:hint="default"/>
                <w:lang w:val="en-US" w:eastAsia="zh-CN"/>
              </w:rPr>
              <w:t xml:space="preserve">RAN4 will further study timing offset assumptions between non-serving cell and serving cell for L1-RSRP measurement in future RAN4 meetings </w:t>
            </w:r>
          </w:p>
          <w:p>
            <w:pPr>
              <w:numPr>
                <w:ilvl w:val="0"/>
                <w:numId w:val="4"/>
              </w:numPr>
              <w:ind w:left="840" w:leftChars="0" w:hanging="420" w:firstLineChars="0"/>
              <w:rPr>
                <w:rFonts w:hint="default"/>
                <w:lang w:val="en-US" w:eastAsia="zh-CN"/>
              </w:rPr>
            </w:pPr>
            <w:r>
              <w:rPr>
                <w:rFonts w:hint="default"/>
                <w:lang w:val="en-US" w:eastAsia="zh-CN"/>
              </w:rPr>
              <w:t>Where non-serving cell refers to all the TRPs configured by gNB for inter-cell BM and serving cell(s) is the cell(s)/TRP(s) from which UE receive PDCCH/PDSCH.</w:t>
            </w:r>
          </w:p>
          <w:p>
            <w:pPr>
              <w:numPr>
                <w:ilvl w:val="0"/>
                <w:numId w:val="4"/>
              </w:numPr>
              <w:ind w:left="840" w:leftChars="0" w:hanging="420" w:firstLineChars="0"/>
              <w:rPr>
                <w:rFonts w:hint="default"/>
                <w:lang w:val="en-US" w:eastAsia="zh-CN"/>
              </w:rPr>
            </w:pPr>
            <w:r>
              <w:rPr>
                <w:rFonts w:hint="default"/>
                <w:lang w:val="en-US" w:eastAsia="zh-CN"/>
              </w:rPr>
              <w:t>RAN4 will further study the FFT implementation assumption for L1-RSRP measurement</w:t>
            </w:r>
          </w:p>
          <w:p>
            <w:pPr>
              <w:numPr>
                <w:ilvl w:val="0"/>
                <w:numId w:val="4"/>
              </w:numPr>
              <w:ind w:left="840" w:leftChars="0" w:hanging="420" w:firstLineChars="0"/>
              <w:rPr>
                <w:rFonts w:hint="default"/>
                <w:lang w:val="en-US" w:eastAsia="zh-CN"/>
              </w:rPr>
            </w:pPr>
            <w:r>
              <w:rPr>
                <w:rFonts w:hint="default"/>
                <w:lang w:val="en-US" w:eastAsia="zh-CN"/>
              </w:rPr>
              <w:t>RAN4 will further study the Rx beam assumption for L1 RSRP measurement</w:t>
            </w:r>
          </w:p>
          <w:p>
            <w:pPr>
              <w:numPr>
                <w:ilvl w:val="0"/>
                <w:numId w:val="4"/>
              </w:numPr>
              <w:ind w:left="840" w:leftChars="0" w:hanging="420" w:firstLineChars="0"/>
              <w:rPr>
                <w:rFonts w:hint="default"/>
                <w:sz w:val="24"/>
                <w:szCs w:val="24"/>
                <w:lang w:val="en-US" w:eastAsia="zh-CN"/>
              </w:rPr>
            </w:pPr>
            <w:r>
              <w:rPr>
                <w:rFonts w:hint="default"/>
                <w:lang w:val="en-US" w:eastAsia="zh-CN"/>
              </w:rPr>
              <w:t>RAN4 will further study the measurement behaviour for L1-RSRP measurement for non-serving cell whether to perform the non-serving cell L1-RSRP measurement outside SMTC or within SMTC</w:t>
            </w:r>
          </w:p>
          <w:p>
            <w:pPr>
              <w:numPr>
                <w:ilvl w:val="0"/>
                <w:numId w:val="4"/>
              </w:numPr>
              <w:ind w:left="840" w:leftChars="0" w:hanging="420" w:firstLineChars="0"/>
              <w:rPr>
                <w:rFonts w:hint="default"/>
                <w:lang w:val="en-US" w:eastAsia="zh-CN"/>
              </w:rPr>
            </w:pPr>
            <w:bookmarkStart w:id="0" w:name="OLE_LINK17"/>
            <w:r>
              <w:rPr>
                <w:rFonts w:hint="default"/>
                <w:lang w:val="en-US" w:eastAsia="zh-CN"/>
              </w:rPr>
              <w:t xml:space="preserve">TCI switch delay requirements for </w:t>
            </w:r>
            <w:bookmarkStart w:id="1" w:name="OLE_LINK16"/>
            <w:r>
              <w:rPr>
                <w:rFonts w:hint="default"/>
                <w:lang w:val="en-US" w:eastAsia="zh-CN"/>
              </w:rPr>
              <w:t>target TCI is associated with non-serving cell</w:t>
            </w:r>
            <w:bookmarkEnd w:id="1"/>
            <w:r>
              <w:rPr>
                <w:rFonts w:hint="default"/>
                <w:lang w:val="en-US" w:eastAsia="zh-CN"/>
              </w:rPr>
              <w:t xml:space="preserve"> (i.e., cell with different PCI)</w:t>
            </w:r>
            <w:bookmarkEnd w:id="0"/>
          </w:p>
          <w:p>
            <w:pPr>
              <w:pStyle w:val="28"/>
              <w:pageBreakBefore w:val="0"/>
              <w:widowControl w:val="0"/>
              <w:numPr>
                <w:ilvl w:val="0"/>
                <w:numId w:val="5"/>
              </w:numPr>
              <w:kinsoku/>
              <w:wordWrap/>
              <w:overflowPunct/>
              <w:topLinePunct w:val="0"/>
              <w:autoSpaceDE/>
              <w:autoSpaceDN/>
              <w:bidi w:val="0"/>
              <w:adjustRightInd/>
              <w:snapToGrid/>
              <w:spacing w:line="252" w:lineRule="auto"/>
              <w:ind w:left="1200" w:leftChars="0" w:hanging="360" w:firstLineChars="0"/>
              <w:textAlignment w:val="auto"/>
              <w:rPr>
                <w:rFonts w:hint="default" w:ascii="Times New Roman" w:hAnsi="Times New Roman" w:eastAsia="Times New Roman" w:cs="Times New Roman"/>
                <w:kern w:val="0"/>
                <w:sz w:val="20"/>
                <w:szCs w:val="24"/>
                <w:lang w:val="en-US" w:eastAsia="ja-JP" w:bidi="ar-SA"/>
              </w:rPr>
            </w:pPr>
            <w:r>
              <w:rPr>
                <w:rFonts w:hint="default" w:ascii="Times New Roman" w:hAnsi="Times New Roman" w:eastAsia="Times New Roman" w:cs="Times New Roman"/>
                <w:kern w:val="0"/>
                <w:sz w:val="20"/>
                <w:szCs w:val="24"/>
                <w:lang w:val="en-US" w:eastAsia="ja-JP" w:bidi="ar-SA"/>
              </w:rPr>
              <w:t xml:space="preserve">Re-use existing known conditions for associated DL-RS </w:t>
            </w:r>
            <w:r>
              <w:rPr>
                <w:rFonts w:hint="eastAsia" w:ascii="Times New Roman" w:hAnsi="Times New Roman" w:eastAsia="Times New Roman" w:cs="Times New Roman"/>
                <w:kern w:val="0"/>
                <w:sz w:val="20"/>
                <w:szCs w:val="24"/>
                <w:lang w:val="en-US" w:eastAsia="zh-CN" w:bidi="ar-SA"/>
              </w:rPr>
              <w:t xml:space="preserve"> </w:t>
            </w:r>
          </w:p>
          <w:p>
            <w:pPr>
              <w:pStyle w:val="28"/>
              <w:pageBreakBefore w:val="0"/>
              <w:widowControl w:val="0"/>
              <w:numPr>
                <w:ilvl w:val="0"/>
                <w:numId w:val="5"/>
              </w:numPr>
              <w:kinsoku/>
              <w:wordWrap/>
              <w:overflowPunct/>
              <w:topLinePunct w:val="0"/>
              <w:autoSpaceDE/>
              <w:autoSpaceDN/>
              <w:bidi w:val="0"/>
              <w:adjustRightInd/>
              <w:snapToGrid/>
              <w:spacing w:line="252" w:lineRule="auto"/>
              <w:ind w:left="1200" w:leftChars="0" w:hanging="360" w:firstLineChars="0"/>
              <w:textAlignment w:val="auto"/>
              <w:rPr>
                <w:rFonts w:hint="default" w:ascii="Times New Roman" w:hAnsi="Times New Roman" w:eastAsia="Times New Roman" w:cs="Times New Roman"/>
                <w:kern w:val="0"/>
                <w:sz w:val="20"/>
                <w:szCs w:val="24"/>
                <w:lang w:val="en-US" w:eastAsia="ja-JP" w:bidi="ar-SA"/>
              </w:rPr>
            </w:pPr>
            <w:r>
              <w:rPr>
                <w:rFonts w:hint="default" w:ascii="Times New Roman" w:hAnsi="Times New Roman" w:eastAsia="Times New Roman" w:cs="Times New Roman"/>
                <w:kern w:val="0"/>
                <w:sz w:val="20"/>
                <w:szCs w:val="24"/>
                <w:lang w:val="en-US" w:eastAsia="ja-JP" w:bidi="ar-SA"/>
              </w:rPr>
              <w:t xml:space="preserve">FFS: Re-use existing MAC-CE based TCI switching delay requirements for DL TCI switching delay requirements for PDCCH and PDSCH </w:t>
            </w:r>
            <w:r>
              <w:rPr>
                <w:rFonts w:hint="eastAsia" w:ascii="Times New Roman" w:hAnsi="Times New Roman" w:eastAsia="Times New Roman" w:cs="Times New Roman"/>
                <w:kern w:val="0"/>
                <w:sz w:val="20"/>
                <w:szCs w:val="24"/>
                <w:lang w:val="en-US" w:eastAsia="zh-CN" w:bidi="ar-SA"/>
              </w:rPr>
              <w:t xml:space="preserve"> </w:t>
            </w:r>
          </w:p>
          <w:p>
            <w:pPr>
              <w:pStyle w:val="28"/>
              <w:pageBreakBefore w:val="0"/>
              <w:widowControl w:val="0"/>
              <w:numPr>
                <w:ilvl w:val="0"/>
                <w:numId w:val="5"/>
              </w:numPr>
              <w:kinsoku/>
              <w:wordWrap/>
              <w:overflowPunct/>
              <w:topLinePunct w:val="0"/>
              <w:autoSpaceDE/>
              <w:autoSpaceDN/>
              <w:bidi w:val="0"/>
              <w:adjustRightInd/>
              <w:snapToGrid/>
              <w:spacing w:line="252" w:lineRule="auto"/>
              <w:ind w:left="1200" w:leftChars="0" w:hanging="360" w:firstLineChars="0"/>
              <w:textAlignment w:val="auto"/>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ja-JP" w:bidi="ar-SA"/>
              </w:rPr>
              <w:t>Reuse existing MAC-CE based uplink spatial relation switching requirements for UL TCI switching delay as starting points.</w:t>
            </w:r>
            <w:r>
              <w:rPr>
                <w:rFonts w:hint="eastAsia" w:ascii="Times New Roman" w:hAnsi="Times New Roman" w:eastAsia="Times New Roman" w:cs="Times New Roman"/>
                <w:kern w:val="0"/>
                <w:sz w:val="20"/>
                <w:szCs w:val="24"/>
                <w:lang w:val="en-US" w:eastAsia="zh-CN" w:bidi="ar-SA"/>
              </w:rPr>
              <w:t xml:space="preserve">  </w:t>
            </w:r>
            <w:r>
              <w:rPr>
                <w:rFonts w:hint="default" w:ascii="Times New Roman" w:hAnsi="Times New Roman" w:eastAsia="Times New Roman" w:cs="Times New Roman"/>
                <w:kern w:val="0"/>
                <w:sz w:val="20"/>
                <w:szCs w:val="24"/>
                <w:lang w:val="en-US" w:eastAsia="ja-JP" w:bidi="ar-SA"/>
              </w:rPr>
              <w:t xml:space="preserve"> </w:t>
            </w:r>
          </w:p>
          <w:p>
            <w:pPr>
              <w:pStyle w:val="28"/>
              <w:pageBreakBefore w:val="0"/>
              <w:widowControl w:val="0"/>
              <w:numPr>
                <w:ilvl w:val="0"/>
                <w:numId w:val="5"/>
              </w:numPr>
              <w:kinsoku/>
              <w:wordWrap/>
              <w:overflowPunct/>
              <w:topLinePunct w:val="0"/>
              <w:autoSpaceDE/>
              <w:autoSpaceDN/>
              <w:bidi w:val="0"/>
              <w:adjustRightInd/>
              <w:snapToGrid/>
              <w:spacing w:line="252" w:lineRule="auto"/>
              <w:ind w:left="1200" w:leftChars="0" w:hanging="360" w:firstLineChars="0"/>
              <w:textAlignment w:val="auto"/>
              <w:rPr>
                <w:rFonts w:hint="default"/>
                <w:sz w:val="24"/>
                <w:szCs w:val="24"/>
                <w:lang w:val="en-US" w:eastAsia="zh-CN"/>
              </w:rPr>
            </w:pPr>
            <w:r>
              <w:rPr>
                <w:rFonts w:hint="default" w:ascii="Times New Roman" w:hAnsi="Times New Roman" w:eastAsia="Times New Roman" w:cs="Times New Roman"/>
                <w:kern w:val="0"/>
                <w:sz w:val="20"/>
                <w:szCs w:val="24"/>
                <w:lang w:val="en-US" w:eastAsia="ja-JP" w:bidi="ar-SA"/>
              </w:rPr>
              <w:t>RAN4 further discuss how to elaborate the wording for “non-serving cell”</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eastAsia" w:eastAsia="宋体"/>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color w:val="auto"/>
          <w:sz w:val="21"/>
          <w:szCs w:val="21"/>
          <w:lang w:val="en-US" w:eastAsia="zh-CN"/>
        </w:rPr>
      </w:pPr>
      <w:r>
        <w:rPr>
          <w:rFonts w:hint="eastAsia" w:eastAsia="宋体"/>
          <w:color w:val="auto"/>
          <w:sz w:val="21"/>
          <w:szCs w:val="21"/>
          <w:lang w:val="en-US" w:eastAsia="zh-CN"/>
        </w:rPr>
        <w:t xml:space="preserve">Based on the conclusion in 101 e-meeting, for RRM impact for inter-cell beam management, some issues are still open, further discussion are needed. </w:t>
      </w:r>
      <w:r>
        <w:rPr>
          <w:rFonts w:hint="eastAsia" w:eastAsia="宋体"/>
          <w:kern w:val="2"/>
          <w:sz w:val="21"/>
          <w:lang w:val="en-US" w:eastAsia="zh-CN"/>
        </w:rPr>
        <w:t>In this document, we give our analysis for the following issues.</w:t>
      </w:r>
    </w:p>
    <w:p>
      <w:pPr>
        <w:pStyle w:val="16"/>
        <w:keepNext w:val="0"/>
        <w:keepLines w:val="0"/>
        <w:pageBreakBefore w:val="0"/>
        <w:numPr>
          <w:ilvl w:val="1"/>
          <w:numId w:val="6"/>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Active TCI state indication for serving cell and NSC</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known/unknown cell condition for non-serving cell configured for L1-RSRP measurements</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MAC CE/DCI based switching delay</w:t>
      </w:r>
    </w:p>
    <w:p>
      <w:pPr>
        <w:pStyle w:val="16"/>
        <w:keepNext w:val="0"/>
        <w:keepLines w:val="0"/>
        <w:pageBreakBefore w:val="0"/>
        <w:numPr>
          <w:ilvl w:val="1"/>
          <w:numId w:val="6"/>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Enhance the measurement for inra-frequency NSC from L3 to L1</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bookmarkStart w:id="2" w:name="OLE_LINK1"/>
      <w:r>
        <w:rPr>
          <w:rFonts w:hint="eastAsia" w:ascii="Times New Roman" w:hAnsi="Times New Roman" w:cs="Times New Roman"/>
          <w:color w:val="auto"/>
          <w:sz w:val="20"/>
          <w:szCs w:val="20"/>
          <w:lang w:val="en-US" w:eastAsia="zh-CN" w:bidi="ar-SA"/>
        </w:rPr>
        <w:t>SSB configuration for L1-RSRP measurement for NSC</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bookmarkStart w:id="3" w:name="OLE_LINK2"/>
      <w:r>
        <w:rPr>
          <w:rFonts w:hint="default" w:ascii="Times New Roman" w:hAnsi="Times New Roman" w:cs="Times New Roman"/>
          <w:color w:val="auto"/>
          <w:sz w:val="20"/>
          <w:szCs w:val="20"/>
          <w:lang w:val="en-US" w:eastAsia="zh-CN" w:bidi="ar-SA"/>
        </w:rPr>
        <w:t>Measurement requirements of L1-RSRP measurement for NSC</w:t>
      </w:r>
    </w:p>
    <w:bookmarkEnd w:id="2"/>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color w:val="auto"/>
          <w:sz w:val="28"/>
          <w:szCs w:val="28"/>
          <w:highlight w:val="none"/>
          <w:lang w:val="en-US" w:eastAsia="zh-CN"/>
        </w:rPr>
      </w:pPr>
      <w:r>
        <w:rPr>
          <w:rFonts w:hint="eastAsia"/>
          <w:color w:val="auto"/>
          <w:sz w:val="28"/>
          <w:szCs w:val="28"/>
          <w:highlight w:val="none"/>
          <w:lang w:val="en-US" w:eastAsia="zh-CN"/>
        </w:rPr>
        <w:t>2.1 Active TCI state indication for serving cell and NSC(</w:t>
      </w:r>
      <w:r>
        <w:rPr>
          <w:rFonts w:hint="eastAsia" w:ascii="Helvetica" w:hAnsi="Helvetica" w:eastAsia="MS Mincho" w:cs="Times New Roman"/>
          <w:b/>
          <w:bCs/>
          <w:iCs/>
          <w:color w:val="auto"/>
          <w:kern w:val="32"/>
          <w:sz w:val="28"/>
          <w:szCs w:val="28"/>
          <w:highlight w:val="none"/>
          <w:lang w:val="en-US" w:eastAsia="zh-CN" w:bidi="ar-SA"/>
        </w:rPr>
        <w:t>non-serving cell</w:t>
      </w:r>
      <w:r>
        <w:rPr>
          <w:rFonts w:hint="eastAsia"/>
          <w:color w:val="auto"/>
          <w:sz w:val="28"/>
          <w:szCs w:val="28"/>
          <w:highlight w:val="none"/>
          <w:lang w:val="en-US" w:eastAsia="zh-CN"/>
        </w:rPr>
        <w:t>)</w:t>
      </w:r>
    </w:p>
    <w:p>
      <w:pPr>
        <w:pStyle w:val="4"/>
        <w:bidi w:val="0"/>
        <w:rPr>
          <w:rFonts w:hint="eastAsia" w:ascii="Helvetica" w:hAnsi="Helvetica" w:eastAsia="MS Mincho" w:cs="Times New Roman"/>
          <w:b/>
          <w:bCs/>
          <w:iCs/>
          <w:color w:val="auto"/>
          <w:kern w:val="32"/>
          <w:sz w:val="28"/>
          <w:szCs w:val="28"/>
          <w:highlight w:val="none"/>
          <w:lang w:val="en-US" w:eastAsia="zh-CN" w:bidi="ar-SA"/>
        </w:rPr>
      </w:pPr>
      <w:r>
        <w:rPr>
          <w:rFonts w:hint="eastAsia" w:ascii="Helvetica" w:hAnsi="Helvetica" w:eastAsia="MS Mincho" w:cs="Times New Roman"/>
          <w:b/>
          <w:bCs/>
          <w:iCs/>
          <w:color w:val="auto"/>
          <w:kern w:val="32"/>
          <w:sz w:val="28"/>
          <w:szCs w:val="28"/>
          <w:highlight w:val="none"/>
          <w:lang w:val="en-US" w:eastAsia="zh-CN" w:bidi="ar-SA"/>
        </w:rPr>
        <w:t xml:space="preserve">2.1.1 known/unknown cell condition for </w:t>
      </w:r>
      <w:r>
        <w:rPr>
          <w:rFonts w:hint="eastAsia" w:cs="Times New Roman"/>
          <w:b/>
          <w:bCs/>
          <w:iCs/>
          <w:color w:val="auto"/>
          <w:kern w:val="32"/>
          <w:sz w:val="28"/>
          <w:szCs w:val="28"/>
          <w:highlight w:val="none"/>
          <w:lang w:val="en-US" w:eastAsia="zh-CN" w:bidi="ar-SA"/>
        </w:rPr>
        <w:t>NSC</w:t>
      </w:r>
      <w:r>
        <w:rPr>
          <w:rFonts w:hint="eastAsia" w:ascii="Helvetica" w:hAnsi="Helvetica" w:eastAsia="MS Mincho" w:cs="Times New Roman"/>
          <w:b/>
          <w:bCs/>
          <w:iCs/>
          <w:color w:val="auto"/>
          <w:kern w:val="32"/>
          <w:sz w:val="28"/>
          <w:szCs w:val="28"/>
          <w:highlight w:val="none"/>
          <w:lang w:val="en-US" w:eastAsia="zh-CN" w:bidi="ar-SA"/>
        </w:rPr>
        <w:t xml:space="preserve"> configured for L1-RSRP measurements</w:t>
      </w:r>
    </w:p>
    <w:p>
      <w:pPr>
        <w:widowControl w:val="0"/>
        <w:numPr>
          <w:ilvl w:val="0"/>
          <w:numId w:val="0"/>
        </w:numPr>
        <w:jc w:val="both"/>
        <w:rPr>
          <w:rFonts w:hint="eastAsia" w:cs="Times New Roman"/>
          <w:lang w:val="en-US" w:eastAsia="zh-CN"/>
        </w:rPr>
      </w:pPr>
      <w:r>
        <w:rPr>
          <w:rFonts w:hint="eastAsia" w:cs="Times New Roman"/>
          <w:lang w:val="en-US" w:eastAsia="zh-CN"/>
        </w:rPr>
        <w:t>The L1-RSRP measurement in legacy Rel-16 is only be performed for a serving cell, including PCell, PSCell, or SCell, on the resources configured for L1-RSRP measurements within the active BWP, so as to achieve beam management or CSI acquirement. Since only oriented toward serving cell, so not need to consider whether satisfy known condition.</w:t>
      </w:r>
    </w:p>
    <w:p>
      <w:pPr>
        <w:widowControl w:val="0"/>
        <w:numPr>
          <w:ilvl w:val="0"/>
          <w:numId w:val="0"/>
        </w:numPr>
        <w:jc w:val="both"/>
        <w:rPr>
          <w:rFonts w:hint="eastAsia" w:cs="Times New Roman"/>
          <w:lang w:val="en-US" w:eastAsia="zh-CN"/>
        </w:rPr>
      </w:pPr>
      <w:r>
        <w:rPr>
          <w:rFonts w:hint="eastAsia" w:cs="Times New Roman"/>
          <w:lang w:val="en-US" w:eastAsia="zh-CN"/>
        </w:rPr>
        <w:t>However for L1-RSRP measurements in NSC, it is necessary to define known/unknown condition. The existing known/unknown cell conditions used in handover requirements can be as reference.</w:t>
      </w:r>
    </w:p>
    <w:p>
      <w:pPr>
        <w:widowControl w:val="0"/>
        <w:numPr>
          <w:ilvl w:val="0"/>
          <w:numId w:val="0"/>
        </w:numPr>
        <w:jc w:val="both"/>
        <w:rPr>
          <w:rFonts w:hint="default" w:cs="Times New Roman"/>
          <w:lang w:val="en-US" w:eastAsia="zh-CN"/>
        </w:rPr>
      </w:pPr>
      <w:r>
        <w:rPr>
          <w:rFonts w:hint="eastAsia" w:cs="Times New Roman"/>
          <w:lang w:val="en-US" w:eastAsia="zh-CN"/>
        </w:rPr>
        <w:t>In the handover requirements, a cell is known if it has been meeting the relevant cell identification requirement during the last 5 seconds otherwise it is unknown.</w:t>
      </w:r>
    </w:p>
    <w:p>
      <w:pPr>
        <w:widowControl w:val="0"/>
        <w:numPr>
          <w:ilvl w:val="0"/>
          <w:numId w:val="0"/>
        </w:numPr>
        <w:jc w:val="both"/>
        <w:rPr>
          <w:rFonts w:hint="default" w:cs="Times New Roman"/>
          <w:lang w:val="en-US" w:eastAsia="zh-CN"/>
        </w:rPr>
      </w:pPr>
      <w:r>
        <w:rPr>
          <w:rFonts w:hint="eastAsia" w:cs="Times New Roman"/>
          <w:lang w:val="en-US" w:eastAsia="zh-CN"/>
        </w:rPr>
        <w:t>Considering multi-TRP scenario only focus on intra-frequency case, i.e. multiple TRP operate in same BWP, frequency, and SCS, so only intra-frequency cell identification need to be considered. Two candidate options can be achieved.</w:t>
      </w:r>
    </w:p>
    <w:p>
      <w:pPr>
        <w:widowControl w:val="0"/>
        <w:numPr>
          <w:ilvl w:val="0"/>
          <w:numId w:val="8"/>
        </w:numPr>
        <w:ind w:left="420" w:leftChars="0" w:hanging="420" w:firstLineChars="0"/>
        <w:jc w:val="both"/>
        <w:rPr>
          <w:rFonts w:hint="default" w:cs="Times New Roman"/>
          <w:lang w:val="en-US" w:eastAsia="zh-CN"/>
        </w:rPr>
      </w:pPr>
      <w:r>
        <w:rPr>
          <w:rFonts w:hint="eastAsia" w:cs="Times New Roman"/>
          <w:lang w:val="en-US" w:eastAsia="zh-CN"/>
        </w:rPr>
        <w:t>Option 1: Re-using the known/unknown condition of intra-frequency Handover</w:t>
      </w:r>
    </w:p>
    <w:p>
      <w:pPr>
        <w:widowControl w:val="0"/>
        <w:numPr>
          <w:ilvl w:val="0"/>
          <w:numId w:val="0"/>
        </w:numPr>
        <w:ind w:leftChars="0"/>
        <w:jc w:val="both"/>
        <w:rPr>
          <w:rFonts w:hint="eastAsia" w:cs="Times New Roman"/>
          <w:lang w:val="en-US" w:eastAsia="zh-CN"/>
        </w:rPr>
      </w:pPr>
      <w:r>
        <w:rPr>
          <w:rFonts w:hint="eastAsia" w:cs="Times New Roman"/>
          <w:lang w:val="en-US" w:eastAsia="zh-CN"/>
        </w:rPr>
        <w:t xml:space="preserve">For Option 1, the known is RRM measurement level, which means the UE should perform at least one RRM measurement to the NSC within 5s, and then perform L1 measurement to the NSC within the rest of the 5s. As a result, UE needs to be configured with both SMTC configuration and L1 SSB configuration for NSC, accordingly both RRM measurement and L1 measurement should be performed by the UE. </w:t>
      </w:r>
    </w:p>
    <w:tbl>
      <w:tblPr>
        <w:tblStyle w:val="18"/>
        <w:tblW w:w="9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0" w:hRule="atLeast"/>
        </w:trPr>
        <w:tc>
          <w:tcPr>
            <w:tcW w:w="9336" w:type="dxa"/>
          </w:tcPr>
          <w:p>
            <w:pPr>
              <w:widowControl w:val="0"/>
              <w:numPr>
                <w:ilvl w:val="0"/>
                <w:numId w:val="0"/>
              </w:numPr>
              <w:ind w:leftChars="0"/>
              <w:jc w:val="both"/>
              <w:rPr>
                <w:rFonts w:hint="default"/>
                <w:lang w:val="en-US" w:eastAsia="zh-CN"/>
              </w:rPr>
            </w:pPr>
            <w:r>
              <w:rPr>
                <w:rFonts w:hint="eastAsia"/>
                <w:lang w:val="en-US" w:eastAsia="zh-CN"/>
              </w:rPr>
              <w:t>Cell identification requirements for intra-frequency handover：</w:t>
            </w:r>
          </w:p>
          <w:p>
            <w:pPr>
              <w:ind w:leftChars="100"/>
              <w:jc w:val="both"/>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widowControl w:val="0"/>
              <w:numPr>
                <w:ilvl w:val="0"/>
                <w:numId w:val="0"/>
              </w:numPr>
              <w:ind w:leftChars="100"/>
              <w:jc w:val="both"/>
              <w:rPr>
                <w:rFonts w:hint="default"/>
                <w:lang w:val="en-US" w:eastAsia="zh-CN"/>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pStyle w:val="36"/>
            </w:pPr>
            <w:r>
              <w:t>Table 9.2.5.1-2: Time period for PSS/SSS detection, (Frequency range FR2)</w:t>
            </w:r>
          </w:p>
          <w:tbl>
            <w:tblPr>
              <w:tblStyle w:val="17"/>
              <w:tblW w:w="9053"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0"/>
              <w:gridCol w:w="6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0" w:type="dxa"/>
                  <w:tcBorders>
                    <w:top w:val="single" w:color="auto" w:sz="4" w:space="0"/>
                    <w:left w:val="single" w:color="auto" w:sz="4" w:space="0"/>
                    <w:bottom w:val="single" w:color="auto" w:sz="4" w:space="0"/>
                    <w:right w:val="single" w:color="auto" w:sz="4" w:space="0"/>
                  </w:tcBorders>
                </w:tcPr>
                <w:p>
                  <w:pPr>
                    <w:pStyle w:val="33"/>
                  </w:pPr>
                  <w:r>
                    <w:t>DRX cycle</w:t>
                  </w:r>
                </w:p>
              </w:tc>
              <w:tc>
                <w:tcPr>
                  <w:tcW w:w="6233" w:type="dxa"/>
                  <w:tcBorders>
                    <w:top w:val="single" w:color="auto" w:sz="4" w:space="0"/>
                    <w:left w:val="single" w:color="auto" w:sz="4" w:space="0"/>
                    <w:bottom w:val="single" w:color="auto" w:sz="4" w:space="0"/>
                    <w:right w:val="single" w:color="auto" w:sz="4" w:space="0"/>
                  </w:tcBorders>
                </w:tcPr>
                <w:p>
                  <w:pPr>
                    <w:pStyle w:val="33"/>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0" w:type="dxa"/>
                  <w:tcBorders>
                    <w:top w:val="single" w:color="auto" w:sz="4" w:space="0"/>
                    <w:left w:val="single" w:color="auto" w:sz="4" w:space="0"/>
                    <w:bottom w:val="single" w:color="auto" w:sz="4" w:space="0"/>
                    <w:right w:val="single" w:color="auto" w:sz="4" w:space="0"/>
                  </w:tcBorders>
                </w:tcPr>
                <w:p>
                  <w:pPr>
                    <w:pStyle w:val="34"/>
                  </w:pPr>
                  <w:r>
                    <w:t>No DRX</w:t>
                  </w:r>
                </w:p>
              </w:tc>
              <w:tc>
                <w:tcPr>
                  <w:tcW w:w="6233" w:type="dxa"/>
                  <w:tcBorders>
                    <w:top w:val="single" w:color="auto" w:sz="4" w:space="0"/>
                    <w:left w:val="single" w:color="auto" w:sz="4" w:space="0"/>
                    <w:bottom w:val="single" w:color="auto" w:sz="4" w:space="0"/>
                    <w:right w:val="single" w:color="auto" w:sz="4" w:space="0"/>
                  </w:tcBorders>
                </w:tcPr>
                <w:p>
                  <w:pPr>
                    <w:pStyle w:val="34"/>
                  </w:pPr>
                  <w:r>
                    <w:t>max(600ms, ceil(M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2820" w:type="dxa"/>
                  <w:tcBorders>
                    <w:top w:val="single" w:color="auto" w:sz="4" w:space="0"/>
                    <w:left w:val="single" w:color="auto" w:sz="4" w:space="0"/>
                    <w:bottom w:val="single" w:color="auto" w:sz="4" w:space="0"/>
                    <w:right w:val="single" w:color="auto" w:sz="4" w:space="0"/>
                  </w:tcBorders>
                </w:tcPr>
                <w:p>
                  <w:pPr>
                    <w:pStyle w:val="34"/>
                  </w:pPr>
                  <w:r>
                    <w:t>DRX cycle</w:t>
                  </w:r>
                  <w:r>
                    <w:rPr>
                      <w:rFonts w:hint="eastAsia"/>
                      <w:lang w:val="en-US"/>
                    </w:rPr>
                    <w:t>≤</w:t>
                  </w:r>
                  <w:r>
                    <w:t xml:space="preserve"> 320ms</w:t>
                  </w:r>
                </w:p>
              </w:tc>
              <w:tc>
                <w:tcPr>
                  <w:tcW w:w="6233" w:type="dxa"/>
                  <w:tcBorders>
                    <w:top w:val="single" w:color="auto" w:sz="4" w:space="0"/>
                    <w:left w:val="single" w:color="auto" w:sz="4" w:space="0"/>
                    <w:bottom w:val="single" w:color="auto" w:sz="4" w:space="0"/>
                    <w:right w:val="single" w:color="auto" w:sz="4" w:space="0"/>
                  </w:tcBorders>
                </w:tcPr>
                <w:p>
                  <w:pPr>
                    <w:pStyle w:val="34"/>
                    <w:rPr>
                      <w:b/>
                    </w:rPr>
                  </w:pPr>
                  <w:r>
                    <w:t>max(600ms, ceil(1.5 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0" w:type="dxa"/>
                  <w:tcBorders>
                    <w:top w:val="single" w:color="auto" w:sz="4" w:space="0"/>
                    <w:left w:val="single" w:color="auto" w:sz="4" w:space="0"/>
                    <w:bottom w:val="single" w:color="auto" w:sz="4" w:space="0"/>
                    <w:right w:val="single" w:color="auto" w:sz="4" w:space="0"/>
                  </w:tcBorders>
                </w:tcPr>
                <w:p>
                  <w:pPr>
                    <w:pStyle w:val="34"/>
                    <w:rPr>
                      <w:b/>
                    </w:rPr>
                  </w:pPr>
                  <w:r>
                    <w:t>DRX cycle&gt;320ms</w:t>
                  </w:r>
                </w:p>
              </w:tc>
              <w:tc>
                <w:tcPr>
                  <w:tcW w:w="6233" w:type="dxa"/>
                  <w:tcBorders>
                    <w:top w:val="single" w:color="auto" w:sz="4" w:space="0"/>
                    <w:left w:val="single" w:color="auto" w:sz="4" w:space="0"/>
                    <w:bottom w:val="single" w:color="auto" w:sz="4" w:space="0"/>
                    <w:right w:val="single" w:color="auto" w:sz="4" w:space="0"/>
                  </w:tcBorders>
                </w:tcPr>
                <w:p>
                  <w:pPr>
                    <w:pStyle w:val="34"/>
                    <w:rPr>
                      <w: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3" w:type="dxa"/>
                  <w:gridSpan w:val="2"/>
                  <w:tcBorders>
                    <w:top w:val="single" w:color="auto" w:sz="4" w:space="0"/>
                    <w:left w:val="single" w:color="auto" w:sz="4" w:space="0"/>
                    <w:bottom w:val="single" w:color="auto" w:sz="4" w:space="0"/>
                    <w:right w:val="single" w:color="auto" w:sz="4" w:space="0"/>
                  </w:tcBorders>
                </w:tcPr>
                <w:p>
                  <w:pPr>
                    <w:pStyle w:val="56"/>
                    <w:rPr>
                      <w:i/>
                    </w:rPr>
                  </w:pPr>
                  <w:r>
                    <w:t>NOTE 1:</w:t>
                  </w:r>
                  <w:r>
                    <w:tab/>
                  </w:r>
                  <w:r>
                    <w:t>If different SMTC periodicities are configured for different cells, the SMTC period in the requirement is the one used by the cell being identified</w:t>
                  </w:r>
                </w:p>
              </w:tc>
            </w:tr>
          </w:tbl>
          <w:p>
            <w:pPr>
              <w:pStyle w:val="36"/>
            </w:pPr>
            <w:r>
              <w:t>Table 9.2.5.2-2: Measurement period for intra-frequency measurements without gaps(FR2)</w:t>
            </w:r>
          </w:p>
          <w:tbl>
            <w:tblPr>
              <w:tblStyle w:val="17"/>
              <w:tblW w:w="9071"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8"/>
              <w:gridCol w:w="6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tcBorders>
                    <w:top w:val="single" w:color="auto" w:sz="4" w:space="0"/>
                    <w:left w:val="single" w:color="auto" w:sz="4" w:space="0"/>
                    <w:bottom w:val="single" w:color="auto" w:sz="4" w:space="0"/>
                    <w:right w:val="single" w:color="auto" w:sz="4" w:space="0"/>
                  </w:tcBorders>
                </w:tcPr>
                <w:p>
                  <w:pPr>
                    <w:pStyle w:val="33"/>
                  </w:pPr>
                  <w:r>
                    <w:t>DRX cycle</w:t>
                  </w:r>
                </w:p>
              </w:tc>
              <w:tc>
                <w:tcPr>
                  <w:tcW w:w="6233" w:type="dxa"/>
                  <w:tcBorders>
                    <w:top w:val="single" w:color="auto" w:sz="4" w:space="0"/>
                    <w:left w:val="single" w:color="auto" w:sz="4" w:space="0"/>
                    <w:bottom w:val="single" w:color="auto" w:sz="4" w:space="0"/>
                    <w:right w:val="single" w:color="auto" w:sz="4" w:space="0"/>
                  </w:tcBorders>
                </w:tcPr>
                <w:p>
                  <w:pPr>
                    <w:pStyle w:val="33"/>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tcBorders>
                    <w:top w:val="single" w:color="auto" w:sz="4" w:space="0"/>
                    <w:left w:val="single" w:color="auto" w:sz="4" w:space="0"/>
                    <w:bottom w:val="single" w:color="auto" w:sz="4" w:space="0"/>
                    <w:right w:val="single" w:color="auto" w:sz="4" w:space="0"/>
                  </w:tcBorders>
                </w:tcPr>
                <w:p>
                  <w:pPr>
                    <w:pStyle w:val="34"/>
                  </w:pPr>
                  <w:r>
                    <w:t>No DRX</w:t>
                  </w:r>
                </w:p>
              </w:tc>
              <w:tc>
                <w:tcPr>
                  <w:tcW w:w="6233" w:type="dxa"/>
                  <w:tcBorders>
                    <w:top w:val="single" w:color="auto" w:sz="4" w:space="0"/>
                    <w:left w:val="single" w:color="auto" w:sz="4" w:space="0"/>
                    <w:bottom w:val="single" w:color="auto" w:sz="4" w:space="0"/>
                    <w:right w:val="single" w:color="auto" w:sz="4" w:space="0"/>
                  </w:tcBorders>
                </w:tcPr>
                <w:p>
                  <w:pPr>
                    <w:pStyle w:val="34"/>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838" w:type="dxa"/>
                  <w:tcBorders>
                    <w:top w:val="single" w:color="auto" w:sz="4" w:space="0"/>
                    <w:left w:val="single" w:color="auto" w:sz="4" w:space="0"/>
                    <w:bottom w:val="single" w:color="auto" w:sz="4" w:space="0"/>
                    <w:right w:val="single" w:color="auto" w:sz="4" w:space="0"/>
                  </w:tcBorders>
                </w:tcPr>
                <w:p>
                  <w:pPr>
                    <w:pStyle w:val="34"/>
                  </w:pPr>
                  <w:r>
                    <w:t>DRX cycle</w:t>
                  </w:r>
                  <w:r>
                    <w:rPr>
                      <w:rFonts w:hint="eastAsia"/>
                      <w:lang w:val="en-US"/>
                    </w:rPr>
                    <w:t>≤</w:t>
                  </w:r>
                  <w:r>
                    <w:t xml:space="preserve"> 320ms</w:t>
                  </w:r>
                </w:p>
              </w:tc>
              <w:tc>
                <w:tcPr>
                  <w:tcW w:w="6233" w:type="dxa"/>
                  <w:tcBorders>
                    <w:top w:val="single" w:color="auto" w:sz="4" w:space="0"/>
                    <w:left w:val="single" w:color="auto" w:sz="4" w:space="0"/>
                    <w:bottom w:val="single" w:color="auto" w:sz="4" w:space="0"/>
                    <w:right w:val="single" w:color="auto" w:sz="4" w:space="0"/>
                  </w:tcBorders>
                </w:tcPr>
                <w:p>
                  <w:pPr>
                    <w:pStyle w:val="34"/>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tcBorders>
                    <w:top w:val="single" w:color="auto" w:sz="4" w:space="0"/>
                    <w:left w:val="single" w:color="auto" w:sz="4" w:space="0"/>
                    <w:bottom w:val="single" w:color="auto" w:sz="4" w:space="0"/>
                    <w:right w:val="single" w:color="auto" w:sz="4" w:space="0"/>
                  </w:tcBorders>
                </w:tcPr>
                <w:p>
                  <w:pPr>
                    <w:pStyle w:val="34"/>
                    <w:rPr>
                      <w:b/>
                    </w:rPr>
                  </w:pPr>
                  <w:r>
                    <w:t>DRX cycle&gt;320ms</w:t>
                  </w:r>
                </w:p>
              </w:tc>
              <w:tc>
                <w:tcPr>
                  <w:tcW w:w="6233" w:type="dxa"/>
                  <w:tcBorders>
                    <w:top w:val="single" w:color="auto" w:sz="4" w:space="0"/>
                    <w:left w:val="single" w:color="auto" w:sz="4" w:space="0"/>
                    <w:bottom w:val="single" w:color="auto" w:sz="4" w:space="0"/>
                    <w:right w:val="single" w:color="auto" w:sz="4" w:space="0"/>
                  </w:tcBorders>
                </w:tcPr>
                <w:p>
                  <w:pPr>
                    <w:pStyle w:val="34"/>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071" w:type="dxa"/>
                  <w:gridSpan w:val="2"/>
                  <w:tcBorders>
                    <w:top w:val="single" w:color="auto" w:sz="4" w:space="0"/>
                    <w:left w:val="single" w:color="auto" w:sz="4" w:space="0"/>
                    <w:bottom w:val="single" w:color="auto" w:sz="4" w:space="0"/>
                    <w:right w:val="single" w:color="auto" w:sz="4" w:space="0"/>
                  </w:tcBorders>
                </w:tcPr>
                <w:p>
                  <w:pPr>
                    <w:pStyle w:val="56"/>
                  </w:pPr>
                  <w:r>
                    <w:t>NOTE 1:</w:t>
                  </w:r>
                  <w:r>
                    <w:tab/>
                  </w:r>
                  <w:r>
                    <w:t>If different SMTC periodicities are configured for different cells, the SMTC period in the requirement is the one used by the cell being identified</w:t>
                  </w:r>
                </w:p>
              </w:tc>
            </w:tr>
          </w:tbl>
          <w:p>
            <w:pPr>
              <w:widowControl w:val="0"/>
              <w:numPr>
                <w:ilvl w:val="0"/>
                <w:numId w:val="0"/>
              </w:numPr>
              <w:ind w:leftChars="0"/>
              <w:jc w:val="both"/>
              <w:rPr>
                <w:rFonts w:hint="default"/>
                <w:lang w:val="en-US" w:eastAsia="zh-CN"/>
              </w:rPr>
            </w:pPr>
          </w:p>
        </w:tc>
      </w:tr>
    </w:tbl>
    <w:p>
      <w:pPr>
        <w:widowControl w:val="0"/>
        <w:numPr>
          <w:ilvl w:val="0"/>
          <w:numId w:val="0"/>
        </w:numPr>
        <w:ind w:leftChars="0"/>
        <w:jc w:val="both"/>
        <w:rPr>
          <w:rFonts w:hint="default" w:cs="Times New Roman"/>
          <w:lang w:val="en-US" w:eastAsia="zh-CN"/>
        </w:rPr>
      </w:pPr>
    </w:p>
    <w:p>
      <w:pPr>
        <w:widowControl w:val="0"/>
        <w:numPr>
          <w:ilvl w:val="0"/>
          <w:numId w:val="8"/>
        </w:numPr>
        <w:ind w:left="420" w:leftChars="0" w:hanging="420" w:firstLineChars="0"/>
        <w:jc w:val="both"/>
        <w:rPr>
          <w:rFonts w:hint="default" w:cs="Times New Roman"/>
          <w:lang w:val="en-US" w:eastAsia="zh-CN"/>
        </w:rPr>
      </w:pPr>
      <w:r>
        <w:rPr>
          <w:rFonts w:hint="eastAsia" w:cs="Times New Roman"/>
          <w:lang w:val="en-US" w:eastAsia="zh-CN"/>
        </w:rPr>
        <w:t>Option 2: Enhance a new known/unknown condition based on L1 measurement</w:t>
      </w:r>
    </w:p>
    <w:p>
      <w:pPr>
        <w:widowControl w:val="0"/>
        <w:numPr>
          <w:ilvl w:val="0"/>
          <w:numId w:val="0"/>
        </w:numPr>
        <w:ind w:leftChars="0"/>
        <w:jc w:val="both"/>
        <w:rPr>
          <w:rFonts w:hint="default" w:cs="Times New Roman"/>
          <w:lang w:val="en-US" w:eastAsia="zh-CN"/>
        </w:rPr>
      </w:pPr>
      <w:r>
        <w:rPr>
          <w:rFonts w:hint="eastAsia" w:cs="Times New Roman"/>
          <w:lang w:val="en-US" w:eastAsia="zh-CN"/>
        </w:rPr>
        <w:t>Option 2 is simplified based on Option 1. Changing the rule not to based on RRM measurement, but based on L1 measurement, so update the RRM measurement period to L1 measurement period, the update is shown as follows:</w:t>
      </w:r>
    </w:p>
    <w:p>
      <w:pPr>
        <w:ind w:leftChars="100"/>
        <w:jc w:val="both"/>
      </w:pPr>
      <w:r>
        <w:t>T</w:t>
      </w:r>
      <w:r>
        <w:rPr>
          <w:vertAlign w:val="subscript"/>
        </w:rPr>
        <w:t xml:space="preserve">identify_intra_without_index </w:t>
      </w:r>
      <w:r>
        <w:t>= (T</w:t>
      </w:r>
      <w:r>
        <w:rPr>
          <w:vertAlign w:val="subscript"/>
        </w:rPr>
        <w:t>PSS/SSS_sync_intra</w:t>
      </w:r>
      <w:r>
        <w:t xml:space="preserve"> +</w:t>
      </w:r>
      <w:r>
        <w:rPr>
          <w:strike/>
          <w:dstrike w:val="0"/>
        </w:rPr>
        <w:t>T</w:t>
      </w:r>
      <w:r>
        <w:rPr>
          <w:strike/>
          <w:dstrike w:val="0"/>
          <w:vertAlign w:val="subscript"/>
        </w:rPr>
        <w:t xml:space="preserve"> SSB_measurement_period_intra</w:t>
      </w:r>
      <w:r>
        <w:rPr>
          <w:highlight w:val="yellow"/>
        </w:rPr>
        <w:t xml:space="preserve"> T</w:t>
      </w:r>
      <w:r>
        <w:rPr>
          <w:highlight w:val="yellow"/>
          <w:vertAlign w:val="subscript"/>
        </w:rPr>
        <w:t>L1-RSRP_Measurement_Period_SSB</w:t>
      </w:r>
      <w:r>
        <w:t>) ms</w:t>
      </w:r>
    </w:p>
    <w:p>
      <w:pPr>
        <w:widowControl w:val="0"/>
        <w:numPr>
          <w:ilvl w:val="0"/>
          <w:numId w:val="0"/>
        </w:numPr>
        <w:ind w:leftChars="100"/>
        <w:jc w:val="both"/>
      </w:pPr>
      <w:r>
        <w:t>T</w:t>
      </w:r>
      <w:r>
        <w:rPr>
          <w:vertAlign w:val="subscript"/>
        </w:rPr>
        <w:t xml:space="preserve">identify_intra_with_index </w:t>
      </w:r>
      <w:r>
        <w:t>= (T</w:t>
      </w:r>
      <w:r>
        <w:rPr>
          <w:vertAlign w:val="subscript"/>
        </w:rPr>
        <w:t>PSS/SSS_sync_intra</w:t>
      </w:r>
      <w:r>
        <w:t xml:space="preserve"> + </w:t>
      </w:r>
      <w:r>
        <w:rPr>
          <w:strike/>
          <w:dstrike w:val="0"/>
        </w:rPr>
        <w:t>T</w:t>
      </w:r>
      <w:r>
        <w:rPr>
          <w:strike/>
          <w:dstrike w:val="0"/>
          <w:vertAlign w:val="subscript"/>
        </w:rPr>
        <w:t xml:space="preserve"> SSB_measurement_period_intra</w:t>
      </w:r>
      <w:r>
        <w:rPr>
          <w:highlight w:val="yellow"/>
        </w:rPr>
        <w:t>T</w:t>
      </w:r>
      <w:r>
        <w:rPr>
          <w:highlight w:val="yellow"/>
          <w:vertAlign w:val="subscript"/>
        </w:rPr>
        <w:t>L1-RSRP_Measurement_Period_SSB</w:t>
      </w:r>
      <w:r>
        <w:rPr>
          <w:vertAlign w:val="subscript"/>
        </w:rPr>
        <w:t xml:space="preserve"> </w:t>
      </w:r>
      <w:r>
        <w:t>+ T</w:t>
      </w:r>
      <w:r>
        <w:rPr>
          <w:vertAlign w:val="subscript"/>
        </w:rPr>
        <w:t>SSB_time_index_intra</w:t>
      </w:r>
      <w:r>
        <w:t>) ms</w:t>
      </w:r>
    </w:p>
    <w:p>
      <w:pPr>
        <w:widowControl w:val="0"/>
        <w:numPr>
          <w:ilvl w:val="0"/>
          <w:numId w:val="0"/>
        </w:numPr>
        <w:jc w:val="both"/>
      </w:pPr>
      <w:r>
        <w:rPr>
          <w:rFonts w:hint="eastAsia" w:eastAsia="宋体"/>
          <w:lang w:val="en-US" w:eastAsia="zh-CN"/>
        </w:rPr>
        <w:t>Since the</w:t>
      </w:r>
      <w:r>
        <w:t xml:space="preserve"> L1 measurement has been </w:t>
      </w:r>
      <w:r>
        <w:rPr>
          <w:rFonts w:hint="eastAsia" w:eastAsia="宋体"/>
          <w:lang w:val="en-US" w:eastAsia="zh-CN"/>
        </w:rPr>
        <w:t xml:space="preserve">supported </w:t>
      </w:r>
      <w:r>
        <w:t xml:space="preserve">for </w:t>
      </w:r>
      <w:r>
        <w:rPr>
          <w:rFonts w:hint="eastAsia" w:eastAsia="宋体"/>
          <w:lang w:val="en-US" w:eastAsia="zh-CN"/>
        </w:rPr>
        <w:t>NSC</w:t>
      </w:r>
      <w:r>
        <w:t xml:space="preserve">, </w:t>
      </w:r>
      <w:r>
        <w:rPr>
          <w:rFonts w:hint="eastAsia" w:eastAsia="宋体"/>
          <w:lang w:val="en-US" w:eastAsia="zh-CN"/>
        </w:rPr>
        <w:t>we believe</w:t>
      </w:r>
      <w:r>
        <w:t xml:space="preserve"> </w:t>
      </w:r>
      <w:r>
        <w:rPr>
          <w:rFonts w:hint="eastAsia" w:eastAsia="宋体"/>
          <w:lang w:val="en-US" w:eastAsia="zh-CN"/>
        </w:rPr>
        <w:t>Option</w:t>
      </w:r>
      <w:r>
        <w:t xml:space="preserve"> 2 is better</w:t>
      </w:r>
      <w:r>
        <w:rPr>
          <w:rFonts w:hint="eastAsia" w:eastAsia="宋体"/>
          <w:lang w:val="en-US" w:eastAsia="zh-CN"/>
        </w:rPr>
        <w:t xml:space="preserve"> choice</w:t>
      </w:r>
      <w:r>
        <w:t xml:space="preserve">. In </w:t>
      </w:r>
      <w:r>
        <w:rPr>
          <w:rFonts w:hint="eastAsia" w:eastAsia="宋体"/>
          <w:lang w:val="en-US" w:eastAsia="zh-CN"/>
        </w:rPr>
        <w:t xml:space="preserve">Option </w:t>
      </w:r>
      <w:r>
        <w:t xml:space="preserve">1, </w:t>
      </w:r>
      <w:r>
        <w:rPr>
          <w:rFonts w:hint="eastAsia" w:eastAsia="宋体"/>
          <w:lang w:val="en-US" w:eastAsia="zh-CN"/>
        </w:rPr>
        <w:t xml:space="preserve">performing both </w:t>
      </w:r>
      <w:r>
        <w:t xml:space="preserve">the L1 </w:t>
      </w:r>
      <w:r>
        <w:rPr>
          <w:rFonts w:hint="eastAsia" w:eastAsia="宋体"/>
          <w:lang w:val="en-US" w:eastAsia="zh-CN"/>
        </w:rPr>
        <w:t xml:space="preserve">measurement </w:t>
      </w:r>
      <w:r>
        <w:t>and</w:t>
      </w:r>
      <w:r>
        <w:rPr>
          <w:rFonts w:hint="eastAsia" w:eastAsia="宋体"/>
          <w:lang w:val="en-US" w:eastAsia="zh-CN"/>
        </w:rPr>
        <w:t xml:space="preserve"> RRM</w:t>
      </w:r>
      <w:r>
        <w:t xml:space="preserve"> measurement </w:t>
      </w:r>
      <w:r>
        <w:rPr>
          <w:rFonts w:hint="eastAsia" w:eastAsia="宋体"/>
          <w:lang w:val="en-US" w:eastAsia="zh-CN"/>
        </w:rPr>
        <w:t>to NSC</w:t>
      </w:r>
      <w:r>
        <w:t xml:space="preserve">, which is redundant. The conclusion </w:t>
      </w:r>
      <w:r>
        <w:rPr>
          <w:rFonts w:hint="eastAsia" w:eastAsia="宋体"/>
          <w:lang w:val="en-US" w:eastAsia="zh-CN"/>
        </w:rPr>
        <w:t>achieved in</w:t>
      </w:r>
      <w:r>
        <w:t xml:space="preserve"> RAN4#100 is that PCell/PSCell’s L3-RSRP measurement delay shall not be impacted by NSC measurements We understand that only </w:t>
      </w:r>
      <w:r>
        <w:rPr>
          <w:rFonts w:hint="eastAsia" w:eastAsia="宋体"/>
          <w:lang w:val="en-US" w:eastAsia="zh-CN"/>
        </w:rPr>
        <w:t xml:space="preserve">performing </w:t>
      </w:r>
      <w:r>
        <w:t>L1-RSRP</w:t>
      </w:r>
      <w:r>
        <w:rPr>
          <w:rFonts w:hint="eastAsia" w:eastAsia="宋体"/>
          <w:lang w:val="en-US" w:eastAsia="zh-CN"/>
        </w:rPr>
        <w:t xml:space="preserve"> measurement for NSC is enough</w:t>
      </w:r>
      <w:r>
        <w:t xml:space="preserve">. To ensure mobility on PCell/PSCell, </w:t>
      </w:r>
      <w:r>
        <w:rPr>
          <w:rFonts w:hint="eastAsia" w:eastAsia="宋体"/>
          <w:lang w:val="en-US" w:eastAsia="zh-CN"/>
        </w:rPr>
        <w:t>NW</w:t>
      </w:r>
      <w:r>
        <w:t xml:space="preserve"> configure RRM measurement for PCell/PSCell, which will not be restricted by the absence of RRM measurement on </w:t>
      </w:r>
      <w:r>
        <w:rPr>
          <w:rFonts w:hint="eastAsia" w:eastAsia="宋体"/>
          <w:lang w:val="en-US" w:eastAsia="zh-CN"/>
        </w:rPr>
        <w:t>NSC</w:t>
      </w:r>
      <w:r>
        <w:t>.</w:t>
      </w:r>
    </w:p>
    <w:p>
      <w:pPr>
        <w:jc w:val="both"/>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Not re-use the existing known/unknown condition of Handover, enhance a new known/unknown condition based on L1 measurement for NSC.</w:t>
      </w:r>
    </w:p>
    <w:p>
      <w:pPr>
        <w:pStyle w:val="4"/>
        <w:bidi w:val="0"/>
        <w:rPr>
          <w:rFonts w:hint="default" w:ascii="Helvetica" w:hAnsi="Helvetica" w:eastAsia="MS Mincho" w:cs="Times New Roman"/>
          <w:b/>
          <w:bCs/>
          <w:iCs/>
          <w:color w:val="auto"/>
          <w:kern w:val="32"/>
          <w:sz w:val="28"/>
          <w:szCs w:val="28"/>
          <w:highlight w:val="none"/>
          <w:lang w:val="en-US" w:eastAsia="zh-CN" w:bidi="ar-SA"/>
        </w:rPr>
      </w:pPr>
      <w:r>
        <w:rPr>
          <w:rFonts w:hint="eastAsia" w:ascii="Helvetica" w:hAnsi="Helvetica" w:eastAsia="MS Mincho" w:cs="Times New Roman"/>
          <w:b/>
          <w:bCs/>
          <w:iCs/>
          <w:color w:val="auto"/>
          <w:kern w:val="32"/>
          <w:sz w:val="28"/>
          <w:szCs w:val="28"/>
          <w:highlight w:val="none"/>
          <w:lang w:val="en-US" w:eastAsia="zh-CN" w:bidi="ar-SA"/>
        </w:rPr>
        <w:t>2.1.</w:t>
      </w:r>
      <w:r>
        <w:rPr>
          <w:rFonts w:hint="eastAsia" w:cs="Times New Roman"/>
          <w:b/>
          <w:bCs/>
          <w:iCs/>
          <w:color w:val="auto"/>
          <w:kern w:val="32"/>
          <w:sz w:val="28"/>
          <w:szCs w:val="28"/>
          <w:highlight w:val="none"/>
          <w:lang w:val="en-US" w:eastAsia="zh-CN" w:bidi="ar-SA"/>
        </w:rPr>
        <w:t>2</w:t>
      </w:r>
      <w:r>
        <w:rPr>
          <w:rFonts w:hint="eastAsia" w:ascii="Helvetica" w:hAnsi="Helvetica" w:eastAsia="MS Mincho" w:cs="Times New Roman"/>
          <w:b/>
          <w:bCs/>
          <w:iCs/>
          <w:color w:val="auto"/>
          <w:kern w:val="32"/>
          <w:sz w:val="28"/>
          <w:szCs w:val="28"/>
          <w:highlight w:val="none"/>
          <w:lang w:val="en-US" w:eastAsia="zh-CN" w:bidi="ar-SA"/>
        </w:rPr>
        <w:t xml:space="preserve"> MAC CE/DCI based </w:t>
      </w:r>
      <w:r>
        <w:rPr>
          <w:rFonts w:hint="eastAsia" w:cs="Times New Roman"/>
          <w:b/>
          <w:bCs/>
          <w:iCs/>
          <w:color w:val="auto"/>
          <w:kern w:val="32"/>
          <w:sz w:val="28"/>
          <w:szCs w:val="28"/>
          <w:highlight w:val="none"/>
          <w:lang w:val="en-US" w:eastAsia="zh-CN" w:bidi="ar-SA"/>
        </w:rPr>
        <w:t xml:space="preserve">TCI </w:t>
      </w:r>
      <w:r>
        <w:rPr>
          <w:rFonts w:hint="eastAsia" w:ascii="Helvetica" w:hAnsi="Helvetica" w:eastAsia="MS Mincho" w:cs="Times New Roman"/>
          <w:b/>
          <w:bCs/>
          <w:iCs/>
          <w:color w:val="auto"/>
          <w:kern w:val="32"/>
          <w:sz w:val="28"/>
          <w:szCs w:val="28"/>
          <w:highlight w:val="none"/>
          <w:lang w:val="en-US" w:eastAsia="zh-CN" w:bidi="ar-SA"/>
        </w:rPr>
        <w:t>switching delay</w:t>
      </w:r>
      <w:r>
        <w:rPr>
          <w:rFonts w:hint="eastAsia" w:cs="Times New Roman"/>
          <w:b/>
          <w:bCs/>
          <w:iCs/>
          <w:color w:val="auto"/>
          <w:kern w:val="32"/>
          <w:sz w:val="28"/>
          <w:szCs w:val="28"/>
          <w:highlight w:val="none"/>
          <w:lang w:val="en-US" w:eastAsia="zh-CN" w:bidi="ar-SA"/>
        </w:rPr>
        <w:t xml:space="preserve"> for NSC</w:t>
      </w:r>
    </w:p>
    <w:p>
      <w:pPr>
        <w:rPr>
          <w:rFonts w:hint="default"/>
          <w:sz w:val="21"/>
          <w:szCs w:val="21"/>
          <w:lang w:val="en-US" w:eastAsia="zh-CN"/>
        </w:rPr>
      </w:pPr>
      <w:r>
        <w:rPr>
          <w:rFonts w:hint="eastAsia"/>
          <w:sz w:val="21"/>
          <w:szCs w:val="21"/>
          <w:lang w:val="en-US" w:eastAsia="zh-CN"/>
        </w:rPr>
        <w:t>For NSC, whether re-use existing MAC-CE based TCI switching delay requirements for DL TCI switching delay requirements for PDCCH and PDSCH is still FFS. We analysis the MAC-CE based TCI switching and DCI based TCI switching respectively.</w:t>
      </w:r>
    </w:p>
    <w:p>
      <w:pPr>
        <w:rPr>
          <w:rFonts w:hint="default"/>
          <w:sz w:val="21"/>
          <w:szCs w:val="21"/>
          <w:lang w:val="en-US" w:eastAsia="zh-CN"/>
        </w:rPr>
      </w:pPr>
      <w:r>
        <w:rPr>
          <w:rFonts w:hint="eastAsia"/>
          <w:sz w:val="21"/>
          <w:szCs w:val="21"/>
          <w:lang w:val="en-US" w:eastAsia="zh-CN"/>
        </w:rPr>
        <w:t>For MAC CE based TCI switch, we suggest re-use existing MAC CE based requirements, i.e.</w:t>
      </w:r>
    </w:p>
    <w:p>
      <w:pPr>
        <w:widowControl w:val="0"/>
        <w:adjustRightInd w:val="0"/>
        <w:snapToGrid w:val="0"/>
        <w:spacing w:after="0"/>
        <w:ind w:leftChars="200"/>
        <w:rPr>
          <w:rFonts w:hint="default" w:eastAsia="Malgun Gothic"/>
          <w:lang w:val="en-US" w:eastAsia="zh-CN"/>
        </w:rPr>
      </w:pPr>
      <w:r>
        <w:rPr>
          <w:rFonts w:hint="eastAsia" w:eastAsiaTheme="minorEastAsia"/>
          <w:lang w:val="en-US" w:eastAsia="zh-CN"/>
        </w:rPr>
        <w:t>K</w:t>
      </w:r>
      <w:r>
        <w:rPr>
          <w:rFonts w:eastAsiaTheme="minorEastAsia"/>
          <w:lang w:val="en-US" w:eastAsia="zh-CN"/>
        </w:rPr>
        <w:t xml:space="preserve">nown case: </w:t>
      </w:r>
      <w:r>
        <w:rPr>
          <w:rFonts w:eastAsia="Malgun Gothic"/>
          <w:lang w:eastAsia="zh-CN"/>
        </w:rPr>
        <w:t>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rFonts w:hint="eastAsia" w:eastAsia="Malgun Gothic"/>
          <w:lang w:val="en-US" w:eastAsia="zh-CN"/>
        </w:rPr>
        <w:t xml:space="preserve"> </w:t>
      </w:r>
    </w:p>
    <w:p>
      <w:pPr>
        <w:ind w:firstLine="420"/>
        <w:rPr>
          <w:rFonts w:eastAsia="Malgun Gothic"/>
          <w:lang w:val="en-US" w:eastAsia="zh-CN"/>
        </w:rPr>
      </w:pPr>
      <w:r>
        <w:rPr>
          <w:rFonts w:hint="eastAsia" w:eastAsiaTheme="minorEastAsia"/>
          <w:lang w:val="en-US" w:eastAsia="zh-CN"/>
        </w:rPr>
        <w:t>U</w:t>
      </w:r>
      <w:r>
        <w:rPr>
          <w:rFonts w:eastAsiaTheme="minorEastAsia"/>
          <w:lang w:val="en-US" w:eastAsia="zh-CN"/>
        </w:rPr>
        <w:t xml:space="preserve">nknown case: </w:t>
      </w:r>
      <w:r>
        <w:rPr>
          <w:rFonts w:eastAsia="Malgun Gothic"/>
          <w:lang w:eastAsia="zh-CN"/>
        </w:rPr>
        <w:t>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p>
    <w:p>
      <w:pPr>
        <w:rPr>
          <w:rFonts w:hint="eastAsia" w:eastAsia="Malgun Gothic"/>
          <w:lang w:val="en-US" w:eastAsia="zh-CN"/>
        </w:rPr>
      </w:pPr>
      <w:r>
        <w:rPr>
          <w:rFonts w:hint="eastAsia" w:eastAsia="Malgun Gothic"/>
          <w:lang w:val="en-US" w:eastAsia="zh-CN"/>
        </w:rPr>
        <w:t xml:space="preserve">It should be noted that for unknown case, </w:t>
      </w:r>
      <w:r>
        <w:rPr>
          <w:lang w:eastAsia="en-GB"/>
        </w:rPr>
        <w:t>T</w:t>
      </w:r>
      <w:r>
        <w:rPr>
          <w:vertAlign w:val="subscript"/>
          <w:lang w:eastAsia="en-GB"/>
        </w:rPr>
        <w:t>L1-RSRP</w:t>
      </w:r>
      <w:r>
        <w:rPr>
          <w:rFonts w:hint="eastAsia" w:eastAsia="宋体"/>
          <w:vertAlign w:val="subscript"/>
          <w:lang w:val="en-US" w:eastAsia="zh-CN"/>
        </w:rPr>
        <w:t xml:space="preserve"> </w:t>
      </w:r>
      <w:r>
        <w:rPr>
          <w:rFonts w:hint="eastAsia" w:eastAsia="Malgun Gothic"/>
          <w:lang w:val="en-US" w:eastAsia="zh-CN"/>
        </w:rPr>
        <w:t>means the L1 measurement for NSC, instead of serving cell.</w:t>
      </w:r>
    </w:p>
    <w:p>
      <w:pPr>
        <w:rPr>
          <w:rFonts w:hint="eastAsia" w:eastAsia="Malgun Gothic"/>
          <w:lang w:val="en-US" w:eastAsia="zh-CN"/>
        </w:rPr>
      </w:pPr>
      <w:r>
        <w:rPr>
          <w:rFonts w:hint="eastAsia" w:eastAsia="Malgun Gothic"/>
          <w:lang w:val="en-US" w:eastAsia="zh-CN"/>
        </w:rPr>
        <w:t xml:space="preserve">For DCI based TCI switch, re-using the requirement for serving cell is recommended, we analysis the DCI based TCI switch delay in our another document[3]. </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2: For MAC CE based TCI state switch for NSC, re-use existing MAC CE based requirements.</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3: For DCI based TCI sate switch for NSC, re-use the corresponding requirements for serving cell.</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2.2 Enhance the measurement for inra-frequency NSC from L3 to L1</w:t>
      </w:r>
    </w:p>
    <w:p>
      <w:pPr>
        <w:pStyle w:val="4"/>
        <w:bidi w:val="0"/>
        <w:rPr>
          <w:rFonts w:hint="eastAsia" w:ascii="Helvetica" w:hAnsi="Helvetica" w:eastAsia="MS Mincho" w:cs="Times New Roman"/>
          <w:b/>
          <w:bCs/>
          <w:iCs/>
          <w:color w:val="auto"/>
          <w:kern w:val="32"/>
          <w:sz w:val="28"/>
          <w:szCs w:val="28"/>
          <w:highlight w:val="none"/>
          <w:lang w:val="en-US" w:eastAsia="zh-CN" w:bidi="ar-SA"/>
        </w:rPr>
      </w:pPr>
      <w:r>
        <w:rPr>
          <w:rFonts w:hint="eastAsia" w:ascii="Helvetica" w:hAnsi="Helvetica" w:eastAsia="MS Mincho" w:cs="Times New Roman"/>
          <w:b/>
          <w:bCs/>
          <w:iCs/>
          <w:color w:val="auto"/>
          <w:kern w:val="32"/>
          <w:sz w:val="28"/>
          <w:szCs w:val="28"/>
          <w:highlight w:val="none"/>
          <w:lang w:val="en-US" w:eastAsia="zh-CN" w:bidi="ar-SA"/>
        </w:rPr>
        <w:t>2.</w:t>
      </w:r>
      <w:r>
        <w:rPr>
          <w:rFonts w:hint="eastAsia" w:cs="Times New Roman"/>
          <w:b/>
          <w:bCs/>
          <w:iCs/>
          <w:color w:val="auto"/>
          <w:kern w:val="32"/>
          <w:sz w:val="28"/>
          <w:szCs w:val="28"/>
          <w:highlight w:val="none"/>
          <w:lang w:val="en-US" w:eastAsia="zh-CN" w:bidi="ar-SA"/>
        </w:rPr>
        <w:t>2</w:t>
      </w:r>
      <w:r>
        <w:rPr>
          <w:rFonts w:hint="eastAsia" w:ascii="Helvetica" w:hAnsi="Helvetica" w:eastAsia="MS Mincho" w:cs="Times New Roman"/>
          <w:b/>
          <w:bCs/>
          <w:iCs/>
          <w:color w:val="auto"/>
          <w:kern w:val="32"/>
          <w:sz w:val="28"/>
          <w:szCs w:val="28"/>
          <w:highlight w:val="none"/>
          <w:lang w:val="en-US" w:eastAsia="zh-CN" w:bidi="ar-SA"/>
        </w:rPr>
        <w:t>.</w:t>
      </w:r>
      <w:r>
        <w:rPr>
          <w:rFonts w:hint="eastAsia" w:cs="Times New Roman"/>
          <w:b/>
          <w:bCs/>
          <w:iCs/>
          <w:color w:val="auto"/>
          <w:kern w:val="32"/>
          <w:sz w:val="28"/>
          <w:szCs w:val="28"/>
          <w:highlight w:val="none"/>
          <w:lang w:val="en-US" w:eastAsia="zh-CN" w:bidi="ar-SA"/>
        </w:rPr>
        <w:t>1</w:t>
      </w:r>
      <w:r>
        <w:rPr>
          <w:rFonts w:hint="eastAsia" w:ascii="Helvetica" w:hAnsi="Helvetica" w:eastAsia="MS Mincho" w:cs="Times New Roman"/>
          <w:b/>
          <w:bCs/>
          <w:iCs/>
          <w:color w:val="auto"/>
          <w:kern w:val="32"/>
          <w:sz w:val="28"/>
          <w:szCs w:val="28"/>
          <w:highlight w:val="none"/>
          <w:lang w:val="en-US" w:eastAsia="zh-CN" w:bidi="ar-SA"/>
        </w:rPr>
        <w:t xml:space="preserve"> SSB configuration for L1-RSRP measurement for NSC</w:t>
      </w:r>
    </w:p>
    <w:p>
      <w:pPr>
        <w:bidi w:val="0"/>
        <w:rPr>
          <w:rFonts w:hint="eastAsia"/>
          <w:lang w:val="en-US" w:eastAsia="zh-CN"/>
        </w:rPr>
      </w:pPr>
      <w:r>
        <w:rPr>
          <w:rFonts w:hint="eastAsia"/>
          <w:lang w:val="en-US" w:eastAsia="zh-CN"/>
        </w:rPr>
        <w:t>Actually two related issues should be discussed together:</w:t>
      </w:r>
    </w:p>
    <w:p>
      <w:pPr>
        <w:numPr>
          <w:ilvl w:val="0"/>
          <w:numId w:val="9"/>
        </w:numPr>
        <w:bidi w:val="0"/>
        <w:ind w:left="420" w:leftChars="0" w:hanging="420" w:firstLineChars="0"/>
        <w:rPr>
          <w:rFonts w:hint="default"/>
          <w:lang w:val="en-US" w:eastAsia="zh-CN"/>
        </w:rPr>
      </w:pPr>
      <w:r>
        <w:rPr>
          <w:rFonts w:hint="default"/>
          <w:lang w:val="en-US" w:eastAsia="zh-CN"/>
        </w:rPr>
        <w:t>Whether configuration limitation about the SSB location for L1-RSRP, i.e. whether SSB is inside SMTC or not</w:t>
      </w:r>
    </w:p>
    <w:p>
      <w:pPr>
        <w:numPr>
          <w:ilvl w:val="0"/>
          <w:numId w:val="9"/>
        </w:numPr>
        <w:bidi w:val="0"/>
        <w:ind w:left="420" w:leftChars="0" w:hanging="420" w:firstLineChars="0"/>
        <w:rPr>
          <w:rFonts w:hint="default"/>
          <w:lang w:val="en-US" w:eastAsia="zh-CN"/>
        </w:rPr>
      </w:pPr>
      <w:r>
        <w:rPr>
          <w:rFonts w:hint="default"/>
          <w:lang w:val="en-US" w:eastAsia="zh-CN"/>
        </w:rPr>
        <w:t>Whether configuration limitation about the SSB location for L1-RSRP, i.e. whether SSB is inside MG or not</w:t>
      </w:r>
    </w:p>
    <w:p>
      <w:pPr>
        <w:numPr>
          <w:ilvl w:val="0"/>
          <w:numId w:val="0"/>
        </w:numPr>
        <w:jc w:val="both"/>
        <w:rPr>
          <w:rFonts w:hint="eastAsia" w:cs="Times New Roman"/>
          <w:lang w:val="en-US" w:eastAsia="zh-CN"/>
        </w:rPr>
      </w:pPr>
      <w:r>
        <w:rPr>
          <w:rFonts w:hint="eastAsia" w:cs="Times New Roman"/>
          <w:lang w:val="en-US" w:eastAsia="zh-CN"/>
        </w:rPr>
        <w:t>Actually in legacy Rel 15/16, the L1 SSB used for BM and CSI acquirement of serving cell is configured completely independent with the SMTC configuration. Therefore, both the situations of L1 SSB within SMTC or outside SMTC may occur.</w:t>
      </w:r>
    </w:p>
    <w:p>
      <w:pPr>
        <w:numPr>
          <w:ilvl w:val="0"/>
          <w:numId w:val="0"/>
        </w:numPr>
        <w:jc w:val="both"/>
        <w:rPr>
          <w:rFonts w:hint="eastAsia" w:cs="Times New Roman"/>
          <w:lang w:val="en-US" w:eastAsia="zh-CN"/>
        </w:rPr>
      </w:pPr>
      <w:r>
        <w:rPr>
          <w:rFonts w:hint="eastAsia" w:cs="Times New Roman"/>
          <w:lang w:val="en-US" w:eastAsia="zh-CN"/>
        </w:rPr>
        <w:t>For L1 SSB used for L1 measurement of NSC, RAN1 has determined that its configuration is same as legacy L1 SSB based measurement of serving cell. Therefore, from the perspective of configuration flexibility, it is unnecessary to restrict it within SMTC, which will greatly limit the flexibility of period and offset configuration of L1 SSB for NSC. In addition, for FR2, the issue that UE would use different RX beam to receive L1 SSB and RRM SSB really exists. Later, we need to discuss how to deal with the problem for the overlapping case. If restricting the L1 SSB within SMTC for NSC, which will increase the possibility of overlapping and therefore deviate from our expectation.</w:t>
      </w:r>
    </w:p>
    <w:p>
      <w:pPr>
        <w:bidi w:val="0"/>
        <w:rPr>
          <w:rFonts w:hint="eastAsia"/>
          <w:lang w:val="en-US" w:eastAsia="zh-CN"/>
        </w:rPr>
      </w:pPr>
      <w:r>
        <w:rPr>
          <w:rFonts w:hint="eastAsia"/>
          <w:lang w:val="en-US" w:eastAsia="zh-CN"/>
        </w:rPr>
        <w:t>We can sort out the collision handling between the legacy L1 SSB(for serving cell), MG and SMTC in legacy Rel-16.</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tcPr>
          <w:p>
            <w:pPr>
              <w:numPr>
                <w:ilvl w:val="0"/>
                <w:numId w:val="9"/>
              </w:numPr>
              <w:ind w:left="420" w:leftChars="0" w:hanging="420" w:firstLineChars="0"/>
              <w:jc w:val="both"/>
              <w:rPr>
                <w:rFonts w:hint="default" w:cs="Times New Roman"/>
                <w:lang w:val="en-US" w:eastAsia="zh-CN"/>
              </w:rPr>
            </w:pPr>
            <w:bookmarkStart w:id="4" w:name="OLE_LINK15"/>
            <w:r>
              <w:rPr>
                <w:rFonts w:hint="eastAsia" w:cs="Times New Roman"/>
                <w:lang w:val="en-US" w:eastAsia="zh-CN"/>
              </w:rPr>
              <w:t>For FR1, if collision happening between L1 SSB occasion and SMTC occasion</w:t>
            </w:r>
          </w:p>
          <w:bookmarkEnd w:id="4"/>
          <w:p>
            <w:pPr>
              <w:numPr>
                <w:ilvl w:val="0"/>
                <w:numId w:val="10"/>
              </w:numPr>
              <w:bidi w:val="0"/>
              <w:ind w:left="840" w:leftChars="0" w:hanging="420" w:firstLineChars="0"/>
              <w:rPr>
                <w:rFonts w:hint="default"/>
                <w:lang w:val="en-US" w:eastAsia="zh-CN"/>
              </w:rPr>
            </w:pPr>
            <w:r>
              <w:rPr>
                <w:rFonts w:hint="eastAsia"/>
                <w:lang w:val="en-US" w:eastAsia="zh-CN"/>
              </w:rPr>
              <w:t>UE can perform L1 measurement and RRM measurement without MG simultaneously</w:t>
            </w:r>
          </w:p>
          <w:p>
            <w:pPr>
              <w:numPr>
                <w:ilvl w:val="0"/>
                <w:numId w:val="10"/>
              </w:numPr>
              <w:bidi w:val="0"/>
              <w:ind w:left="840" w:leftChars="0" w:hanging="420" w:firstLineChars="0"/>
              <w:rPr>
                <w:rFonts w:hint="default"/>
                <w:lang w:val="en-US" w:eastAsia="zh-CN"/>
              </w:rPr>
            </w:pPr>
            <w:r>
              <w:rPr>
                <w:rFonts w:hint="eastAsia"/>
                <w:lang w:val="en-US" w:eastAsia="zh-CN"/>
              </w:rPr>
              <w:t>UE can not perform L1 measurement and RRM measurement with MG simultaneously, so only perform RRM measurement with gap at the collision occasion, then the scaling factor P should be used to enlarge the measurement period so as to guarantee the measurement accuracy.</w:t>
            </w:r>
          </w:p>
          <w:p>
            <w:pPr>
              <w:numPr>
                <w:ilvl w:val="0"/>
                <w:numId w:val="11"/>
              </w:numPr>
              <w:bidi w:val="0"/>
              <w:ind w:left="420" w:leftChars="0" w:hanging="420" w:firstLineChars="0"/>
              <w:rPr>
                <w:rFonts w:hint="default"/>
                <w:vertAlign w:val="baseline"/>
                <w:lang w:val="en-US" w:eastAsia="zh-CN"/>
              </w:rPr>
            </w:pPr>
            <w:r>
              <w:rPr>
                <w:rFonts w:hint="eastAsia"/>
                <w:lang w:val="en-US" w:eastAsia="zh-CN"/>
              </w:rPr>
              <w:t xml:space="preserve">For FR2, for the collision case between L1 SSB, MG and SMTC occasion, the overall principle is as follows: On SMTC occasion or gap, UE cannot perform L1-SSB measurement. Therefore, scaling factor P is used to enlarge the L1 measurement period. The specific value of P depends on the overlapping situations.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Therefore, the configuration of SSB used for L1 measurement for NSC should not be limited by the configuration of SMTC and MG. Since the purpose of L1 SSB based measurement for NSC is to ensure the inter-cell BM as convenient as intra-cell BM, coherently the configuration flexibility of L1 SSB for NSC should be as similar as for serving cell, without additional limitation. </w:t>
      </w:r>
      <w:r>
        <w:rPr>
          <w:rFonts w:hint="eastAsia" w:ascii="Times New Roman" w:hAnsi="Times New Roman" w:eastAsia="宋体" w:cs="Times New Roman"/>
          <w:color w:val="auto"/>
          <w:sz w:val="21"/>
          <w:szCs w:val="21"/>
          <w:lang w:val="en-US" w:eastAsia="zh-CN" w:bidi="ar-SA"/>
        </w:rPr>
        <w:br w:type="textWrapping"/>
      </w:r>
      <w:r>
        <w:rPr>
          <w:rFonts w:hint="eastAsia" w:ascii="Times New Roman" w:hAnsi="Times New Roman" w:eastAsia="宋体" w:cs="Times New Roman"/>
          <w:color w:val="auto"/>
          <w:sz w:val="21"/>
          <w:szCs w:val="21"/>
          <w:lang w:val="en-US" w:eastAsia="zh-CN" w:bidi="ar-SA"/>
        </w:rPr>
        <w:t>Then, RAN4 only needs to discuss how to resolve the collision between L1 SSB for NSC and SMTC/MG. For the specific solution, we believe totally refer to the solution to the collision between the serving cell L1 SSB and the SMTC/MG in legacy Rel-16, that is, the solution summarized in the above box.</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4: In order to guarantee sufficient flexibility for L1 SSB configuration of NSC as similar as serving cell, which should not be limited by the configuration of SMTC and MG.</w:t>
      </w:r>
    </w:p>
    <w:p>
      <w:pPr>
        <w:pStyle w:val="11"/>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5: Re-using the existing collision handling in legacy Rel-16 to resolve the possible collision between L1 SSB used for NSC measurement and SMTC/MG.</w:t>
      </w:r>
    </w:p>
    <w:p>
      <w:pPr>
        <w:pStyle w:val="4"/>
        <w:bidi w:val="0"/>
        <w:rPr>
          <w:rFonts w:hint="eastAsia" w:ascii="Times New Roman" w:hAnsi="Times New Roman" w:eastAsia="宋体" w:cs="Times New Roman"/>
          <w:color w:val="auto"/>
          <w:sz w:val="21"/>
          <w:szCs w:val="21"/>
          <w:lang w:val="en-US" w:eastAsia="zh-CN" w:bidi="ar-SA"/>
        </w:rPr>
      </w:pPr>
      <w:r>
        <w:rPr>
          <w:rFonts w:hint="eastAsia" w:ascii="Helvetica" w:hAnsi="Helvetica" w:eastAsia="MS Mincho" w:cs="Times New Roman"/>
          <w:b/>
          <w:bCs/>
          <w:iCs/>
          <w:color w:val="auto"/>
          <w:kern w:val="32"/>
          <w:sz w:val="28"/>
          <w:szCs w:val="28"/>
          <w:highlight w:val="none"/>
          <w:lang w:val="en-US" w:eastAsia="zh-CN" w:bidi="ar-SA"/>
        </w:rPr>
        <w:t>2.</w:t>
      </w:r>
      <w:r>
        <w:rPr>
          <w:rFonts w:hint="eastAsia" w:cs="Times New Roman"/>
          <w:b/>
          <w:bCs/>
          <w:iCs/>
          <w:color w:val="auto"/>
          <w:kern w:val="32"/>
          <w:sz w:val="28"/>
          <w:szCs w:val="28"/>
          <w:highlight w:val="none"/>
          <w:lang w:val="en-US" w:eastAsia="zh-CN" w:bidi="ar-SA"/>
        </w:rPr>
        <w:t>2</w:t>
      </w:r>
      <w:r>
        <w:rPr>
          <w:rFonts w:hint="eastAsia" w:ascii="Helvetica" w:hAnsi="Helvetica" w:eastAsia="MS Mincho" w:cs="Times New Roman"/>
          <w:b/>
          <w:bCs/>
          <w:iCs/>
          <w:color w:val="auto"/>
          <w:kern w:val="32"/>
          <w:sz w:val="28"/>
          <w:szCs w:val="28"/>
          <w:highlight w:val="none"/>
          <w:lang w:val="en-US" w:eastAsia="zh-CN" w:bidi="ar-SA"/>
        </w:rPr>
        <w:t>.</w:t>
      </w:r>
      <w:r>
        <w:rPr>
          <w:rFonts w:hint="eastAsia" w:cs="Times New Roman"/>
          <w:b/>
          <w:bCs/>
          <w:iCs/>
          <w:color w:val="auto"/>
          <w:kern w:val="32"/>
          <w:sz w:val="28"/>
          <w:szCs w:val="28"/>
          <w:highlight w:val="none"/>
          <w:lang w:val="en-US" w:eastAsia="zh-CN" w:bidi="ar-SA"/>
        </w:rPr>
        <w:t>2</w:t>
      </w:r>
      <w:r>
        <w:rPr>
          <w:rFonts w:hint="eastAsia" w:ascii="Helvetica" w:hAnsi="Helvetica" w:eastAsia="MS Mincho" w:cs="Times New Roman"/>
          <w:b/>
          <w:bCs/>
          <w:iCs/>
          <w:color w:val="auto"/>
          <w:kern w:val="32"/>
          <w:sz w:val="28"/>
          <w:szCs w:val="28"/>
          <w:highlight w:val="none"/>
          <w:lang w:val="en-US" w:eastAsia="zh-CN" w:bidi="ar-SA"/>
        </w:rPr>
        <w:t xml:space="preserve"> Measurement requirements of L1-RSRP measurement for NSC</w:t>
      </w:r>
    </w:p>
    <w:p>
      <w:pPr>
        <w:jc w:val="both"/>
        <w:rPr>
          <w:rFonts w:hint="eastAsia"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For </w:t>
      </w:r>
      <w:r>
        <w:rPr>
          <w:rFonts w:hint="eastAsia" w:eastAsia="宋体" w:cs="Times New Roman"/>
          <w:color w:val="auto"/>
          <w:sz w:val="21"/>
          <w:szCs w:val="21"/>
          <w:lang w:val="en-US" w:eastAsia="zh-CN" w:bidi="ar-SA"/>
        </w:rPr>
        <w:t xml:space="preserve">this issue, we believe one urgent problem to determine is that whether UE need to meet the requirement if the timing offset between NSC and serving cell is larger than a CP. Which relates the FFT implementation for L1 measurement of serving cell and NSC within UE. </w:t>
      </w:r>
    </w:p>
    <w:p>
      <w:pPr>
        <w:jc w:val="both"/>
        <w:rPr>
          <w:rFonts w:hint="eastAsia" w:eastAsia="宋体" w:cs="Times New Roman"/>
          <w:color w:val="auto"/>
          <w:sz w:val="21"/>
          <w:szCs w:val="21"/>
          <w:lang w:val="en-US" w:eastAsia="zh-CN" w:bidi="ar-SA"/>
        </w:rPr>
      </w:pPr>
      <w:r>
        <w:rPr>
          <w:rFonts w:hint="eastAsia" w:eastAsia="宋体" w:cs="Times New Roman"/>
          <w:color w:val="auto"/>
          <w:sz w:val="21"/>
          <w:szCs w:val="21"/>
          <w:lang w:val="en-US" w:eastAsia="zh-CN" w:bidi="ar-SA"/>
        </w:rPr>
        <w:t xml:space="preserve">Serving cell and NSC can be seen as different QCL sources. Timing offset between them may exists. In legacy Rel-16, no such timing offset requirement is defined since no demand. For inter-cell BM, since one FFT applied for both serving cell and NSC is preferred, so if simultaneous RX with such different QCL sources is needed, then the timing offset requirement is needed so as to guarantee the timing offset between serving cell and NSC is within CP. </w:t>
      </w:r>
    </w:p>
    <w:p>
      <w:pPr>
        <w:jc w:val="both"/>
        <w:rPr>
          <w:rFonts w:hint="eastAsia" w:eastAsia="宋体" w:cs="Times New Roman"/>
          <w:color w:val="auto"/>
          <w:sz w:val="21"/>
          <w:szCs w:val="21"/>
          <w:lang w:val="en-US" w:eastAsia="zh-CN" w:bidi="ar-SA"/>
        </w:rPr>
      </w:pPr>
      <w:r>
        <w:rPr>
          <w:rFonts w:hint="eastAsia" w:eastAsia="宋体" w:cs="Times New Roman"/>
          <w:color w:val="auto"/>
          <w:sz w:val="21"/>
          <w:szCs w:val="21"/>
          <w:lang w:val="en-US" w:eastAsia="zh-CN" w:bidi="ar-SA"/>
        </w:rPr>
        <w:t>Further more, RAN1 do not provide any conclusion for the timing issue between serving cell and NSC until now. So, if RAN4 has any conclusion, we can inform RAN1.</w:t>
      </w:r>
    </w:p>
    <w:p>
      <w:pPr>
        <w:jc w:val="both"/>
        <w:rPr>
          <w:rFonts w:hint="default" w:eastAsia="宋体" w:cs="Times New Roman"/>
          <w:color w:val="auto"/>
          <w:sz w:val="21"/>
          <w:szCs w:val="21"/>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For inter-cell BM, since one FFT applied for both serving cell and NSC is preferred, so if simultaneous RX with such different QCL sources is needed, then the timing offset requirement is needed so as to guarantee the timing offset between serving cell and NSC is within CP.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inter-cell BM</w:t>
      </w:r>
      <w:r>
        <w:rPr>
          <w:rFonts w:eastAsia="宋体"/>
          <w:bCs/>
          <w:color w:val="auto"/>
          <w:sz w:val="21"/>
          <w:szCs w:val="21"/>
          <w:lang w:val="en-GB" w:eastAsia="zh-CN"/>
        </w:rPr>
        <w:t>:</w:t>
      </w:r>
    </w:p>
    <w:p>
      <w:pPr>
        <w:jc w:val="both"/>
        <w:rPr>
          <w:rFonts w:hint="eastAsia" w:eastAsia="宋体"/>
          <w:b/>
          <w:bCs/>
          <w:color w:val="auto"/>
          <w:sz w:val="21"/>
          <w:szCs w:val="21"/>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Not re-use the existing known/unknown condition of Handover, enhance a new known/unknown condition based on L1 measurement for NSC.</w:t>
      </w:r>
    </w:p>
    <w:p>
      <w:pPr>
        <w:pStyle w:val="11"/>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For MAC CE based TCI state switch for NSC, re-use existing MAC CE based requirements.</w:t>
      </w:r>
    </w:p>
    <w:p>
      <w:pPr>
        <w:pStyle w:val="11"/>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For DCI based TCI sate switch for NSC, re-use the corresponding requirements for serving cell.</w:t>
      </w:r>
    </w:p>
    <w:p>
      <w:pPr>
        <w:pStyle w:val="11"/>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In order to guarantee sufficient flexibility for L1 SSB configuration of NSC as similar as serving cell, which should not be limited by the configuration of SMTC and MG.</w:t>
      </w:r>
    </w:p>
    <w:p>
      <w:pPr>
        <w:pStyle w:val="11"/>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Re-using the existing collision handling in legacy Rel-16 to resolve the possible collision between L1 SSB used for NSC measurement and SMTC/MG.</w:t>
      </w:r>
    </w:p>
    <w:p>
      <w:pPr>
        <w:pStyle w:val="11"/>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w:t>
      </w:r>
      <w:r>
        <w:rPr>
          <w:rFonts w:hint="eastAsia" w:ascii="Times New Roman" w:hAnsi="Times New Roman" w:eastAsia="宋体" w:cs="Times New Roman"/>
          <w:b/>
          <w:bCs/>
          <w:color w:val="auto"/>
          <w:sz w:val="21"/>
          <w:szCs w:val="21"/>
          <w:highlight w:val="none"/>
          <w:lang w:val="en-US" w:eastAsia="zh-CN" w:bidi="ar-SA"/>
        </w:rPr>
        <w:t>For inter-cell BM, since one FFT applied for both serving cell and NSC is preferred, so if simultaneous RX with such different QCL sources is needed, then the timing offset requirement is needed so as to guarantee the timing offset between serving cell and NSC is within CP.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rPr>
          <w:rFonts w:hint="default" w:eastAsia="宋体"/>
          <w:color w:val="auto"/>
          <w:highlight w:val="none"/>
          <w:lang w:val="en-US" w:eastAsia="zh-CN"/>
        </w:rPr>
      </w:pPr>
      <w:r>
        <w:rPr>
          <w:rFonts w:hint="eastAsia"/>
          <w:color w:val="auto"/>
          <w:highlight w:val="none"/>
          <w:lang w:val="en-US" w:eastAsia="zh-CN"/>
        </w:rPr>
        <w:t xml:space="preserve">R4-2120321, </w:t>
      </w:r>
      <w:r>
        <w:rPr>
          <w:rFonts w:hint="default"/>
          <w:color w:val="auto"/>
          <w:highlight w:val="none"/>
          <w:lang w:val="en-US" w:eastAsia="zh-CN"/>
        </w:rPr>
        <w:t>“</w:t>
      </w:r>
      <w:r>
        <w:rPr>
          <w:rFonts w:hint="eastAsia"/>
          <w:color w:val="auto"/>
          <w:highlight w:val="none"/>
          <w:lang w:val="en-US" w:eastAsia="zh-CN"/>
        </w:rPr>
        <w:t>WF on FeMIMO RRM requirements for inter-cell beam management</w:t>
      </w:r>
      <w:r>
        <w:rPr>
          <w:rFonts w:hint="default"/>
          <w:color w:val="auto"/>
          <w:highlight w:val="none"/>
          <w:lang w:val="en-US" w:eastAsia="zh-CN"/>
        </w:rPr>
        <w:t>”</w:t>
      </w:r>
      <w:r>
        <w:rPr>
          <w:rFonts w:hint="eastAsia"/>
          <w:color w:val="auto"/>
          <w:highlight w:val="none"/>
          <w:lang w:val="en-US" w:eastAsia="zh-CN"/>
        </w:rPr>
        <w:t xml:space="preserve">, Samsung.   </w:t>
      </w:r>
    </w:p>
    <w:p>
      <w:pPr>
        <w:pStyle w:val="6"/>
        <w:rPr>
          <w:rFonts w:hint="default" w:eastAsia="宋体"/>
          <w:color w:val="auto"/>
          <w:highlight w:val="none"/>
          <w:lang w:val="en-US" w:eastAsia="zh-CN"/>
        </w:rPr>
      </w:pPr>
      <w:r>
        <w:rPr>
          <w:rFonts w:hint="eastAsia"/>
          <w:color w:val="auto"/>
          <w:highlight w:val="none"/>
          <w:lang w:val="en-US" w:eastAsia="zh-CN"/>
        </w:rPr>
        <w:t xml:space="preserve">R4-212320, </w:t>
      </w:r>
      <w:r>
        <w:rPr>
          <w:rFonts w:hint="default"/>
          <w:color w:val="auto"/>
          <w:highlight w:val="none"/>
          <w:lang w:val="en-US" w:eastAsia="zh-CN"/>
        </w:rPr>
        <w:t>“WF on RRM impact for unified TCI in FeMIMO”</w:t>
      </w:r>
      <w:r>
        <w:rPr>
          <w:rFonts w:hint="eastAsia"/>
          <w:color w:val="auto"/>
          <w:highlight w:val="none"/>
          <w:lang w:val="en-US" w:eastAsia="zh-CN"/>
        </w:rPr>
        <w:t>, Intel.</w:t>
      </w:r>
    </w:p>
    <w:p>
      <w:pPr>
        <w:pStyle w:val="6"/>
        <w:rPr>
          <w:rFonts w:hint="default" w:eastAsia="宋体"/>
          <w:color w:val="auto"/>
          <w:highlight w:val="none"/>
          <w:lang w:val="en-US" w:eastAsia="zh-CN"/>
        </w:rPr>
      </w:pPr>
      <w:r>
        <w:rPr>
          <w:rFonts w:hint="eastAsia"/>
          <w:color w:val="auto"/>
          <w:highlight w:val="none"/>
          <w:lang w:val="en-US" w:eastAsia="zh-CN"/>
        </w:rPr>
        <w:t>R4-2200593</w:t>
      </w:r>
      <w:bookmarkStart w:id="5" w:name="_GoBack"/>
      <w:bookmarkEnd w:id="5"/>
      <w:r>
        <w:rPr>
          <w:rFonts w:hint="eastAsia"/>
          <w:color w:val="auto"/>
          <w:highlight w:val="none"/>
          <w:lang w:val="en-US" w:eastAsia="zh-CN"/>
        </w:rPr>
        <w:t xml:space="preserve"> </w:t>
      </w:r>
      <w:r>
        <w:rPr>
          <w:rFonts w:hint="default"/>
          <w:color w:val="auto"/>
          <w:highlight w:val="none"/>
          <w:lang w:val="en-US" w:eastAsia="zh-CN"/>
        </w:rPr>
        <w:t>“Discussion on Unified TCI for DL and UL”</w:t>
      </w:r>
      <w:r>
        <w:rPr>
          <w:rFonts w:hint="eastAsia"/>
          <w:color w:val="auto"/>
          <w:highlight w:val="none"/>
          <w:lang w:val="en-US" w:eastAsia="zh-CN"/>
        </w:rPr>
        <w:t>, ZTE.</w:t>
      </w:r>
    </w:p>
    <w:p>
      <w:pPr>
        <w:pStyle w:val="6"/>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139AE1"/>
    <w:multiLevelType w:val="singleLevel"/>
    <w:tmpl w:val="A2139AE1"/>
    <w:lvl w:ilvl="0" w:tentative="0">
      <w:start w:val="1"/>
      <w:numFmt w:val="bullet"/>
      <w:lvlText w:val=""/>
      <w:lvlJc w:val="left"/>
      <w:pPr>
        <w:tabs>
          <w:tab w:val="left" w:pos="420"/>
        </w:tabs>
        <w:ind w:left="840" w:hanging="420"/>
      </w:pPr>
      <w:rPr>
        <w:rFonts w:hint="default" w:ascii="Wingdings" w:hAnsi="Wingdings"/>
      </w:rPr>
    </w:lvl>
  </w:abstractNum>
  <w:abstractNum w:abstractNumId="1">
    <w:nsid w:val="E0558015"/>
    <w:multiLevelType w:val="multilevel"/>
    <w:tmpl w:val="E055801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0C0F246D"/>
    <w:multiLevelType w:val="singleLevel"/>
    <w:tmpl w:val="0C0F246D"/>
    <w:lvl w:ilvl="0" w:tentative="0">
      <w:start w:val="1"/>
      <w:numFmt w:val="bullet"/>
      <w:lvlText w:val=""/>
      <w:lvlJc w:val="left"/>
      <w:pPr>
        <w:tabs>
          <w:tab w:val="left" w:pos="420"/>
        </w:tabs>
        <w:ind w:left="84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BB558DF"/>
    <w:multiLevelType w:val="singleLevel"/>
    <w:tmpl w:val="1BB558DF"/>
    <w:lvl w:ilvl="0" w:tentative="0">
      <w:start w:val="1"/>
      <w:numFmt w:val="bullet"/>
      <w:lvlText w:val=""/>
      <w:lvlJc w:val="left"/>
      <w:pPr>
        <w:ind w:left="420" w:hanging="420"/>
      </w:pPr>
      <w:rPr>
        <w:rFonts w:hint="default" w:ascii="Wingdings" w:hAnsi="Wingdings"/>
      </w:rPr>
    </w:lvl>
  </w:abstractNum>
  <w:abstractNum w:abstractNumId="5">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B5AA2FD"/>
    <w:multiLevelType w:val="singleLevel"/>
    <w:tmpl w:val="5B5AA2FD"/>
    <w:lvl w:ilvl="0" w:tentative="0">
      <w:start w:val="1"/>
      <w:numFmt w:val="bullet"/>
      <w:lvlText w:val=""/>
      <w:lvlJc w:val="left"/>
      <w:pPr>
        <w:ind w:left="420" w:hanging="420"/>
      </w:pPr>
      <w:rPr>
        <w:rFonts w:hint="default" w:ascii="Wingdings" w:hAnsi="Wingdings"/>
      </w:rPr>
    </w:lvl>
  </w:abstractNum>
  <w:abstractNum w:abstractNumId="8">
    <w:nsid w:val="67267C66"/>
    <w:multiLevelType w:val="multilevel"/>
    <w:tmpl w:val="67267C66"/>
    <w:lvl w:ilvl="0" w:tentative="0">
      <w:start w:val="1"/>
      <w:numFmt w:val="bullet"/>
      <w:lvlText w:val=""/>
      <w:lvlJc w:val="left"/>
      <w:pPr>
        <w:tabs>
          <w:tab w:val="left" w:pos="840"/>
        </w:tabs>
        <w:ind w:left="1200" w:hanging="360"/>
      </w:pPr>
      <w:rPr>
        <w:rFonts w:hint="default" w:ascii="Symbol" w:hAnsi="Symbol"/>
      </w:rPr>
    </w:lvl>
    <w:lvl w:ilvl="1" w:tentative="0">
      <w:start w:val="1"/>
      <w:numFmt w:val="bullet"/>
      <w:lvlText w:val="o"/>
      <w:lvlJc w:val="left"/>
      <w:pPr>
        <w:tabs>
          <w:tab w:val="left" w:pos="840"/>
        </w:tabs>
        <w:ind w:left="1920" w:hanging="360"/>
      </w:pPr>
      <w:rPr>
        <w:rFonts w:hint="default" w:ascii="Courier New" w:hAnsi="Courier New" w:cs="Courier New"/>
      </w:rPr>
    </w:lvl>
    <w:lvl w:ilvl="2" w:tentative="0">
      <w:start w:val="1"/>
      <w:numFmt w:val="bullet"/>
      <w:lvlText w:val=""/>
      <w:lvlJc w:val="left"/>
      <w:pPr>
        <w:tabs>
          <w:tab w:val="left" w:pos="840"/>
        </w:tabs>
        <w:ind w:left="2640" w:hanging="360"/>
      </w:pPr>
      <w:rPr>
        <w:rFonts w:hint="default" w:ascii="Wingdings" w:hAnsi="Wingdings"/>
      </w:rPr>
    </w:lvl>
    <w:lvl w:ilvl="3" w:tentative="0">
      <w:start w:val="1"/>
      <w:numFmt w:val="bullet"/>
      <w:lvlText w:val=""/>
      <w:lvlJc w:val="left"/>
      <w:pPr>
        <w:tabs>
          <w:tab w:val="left" w:pos="840"/>
        </w:tabs>
        <w:ind w:left="3360" w:hanging="360"/>
      </w:pPr>
      <w:rPr>
        <w:rFonts w:hint="default" w:ascii="Symbol" w:hAnsi="Symbol"/>
      </w:rPr>
    </w:lvl>
    <w:lvl w:ilvl="4" w:tentative="0">
      <w:start w:val="1"/>
      <w:numFmt w:val="bullet"/>
      <w:lvlText w:val="o"/>
      <w:lvlJc w:val="left"/>
      <w:pPr>
        <w:tabs>
          <w:tab w:val="left" w:pos="840"/>
        </w:tabs>
        <w:ind w:left="4080" w:hanging="360"/>
      </w:pPr>
      <w:rPr>
        <w:rFonts w:hint="default" w:ascii="Courier New" w:hAnsi="Courier New" w:cs="Courier New"/>
      </w:rPr>
    </w:lvl>
    <w:lvl w:ilvl="5" w:tentative="0">
      <w:start w:val="1"/>
      <w:numFmt w:val="bullet"/>
      <w:lvlText w:val=""/>
      <w:lvlJc w:val="left"/>
      <w:pPr>
        <w:tabs>
          <w:tab w:val="left" w:pos="840"/>
        </w:tabs>
        <w:ind w:left="4800" w:hanging="360"/>
      </w:pPr>
      <w:rPr>
        <w:rFonts w:hint="default" w:ascii="Wingdings" w:hAnsi="Wingdings"/>
      </w:rPr>
    </w:lvl>
    <w:lvl w:ilvl="6" w:tentative="0">
      <w:start w:val="1"/>
      <w:numFmt w:val="bullet"/>
      <w:lvlText w:val=""/>
      <w:lvlJc w:val="left"/>
      <w:pPr>
        <w:tabs>
          <w:tab w:val="left" w:pos="840"/>
        </w:tabs>
        <w:ind w:left="5520" w:hanging="360"/>
      </w:pPr>
      <w:rPr>
        <w:rFonts w:hint="default" w:ascii="Symbol" w:hAnsi="Symbol"/>
      </w:rPr>
    </w:lvl>
    <w:lvl w:ilvl="7" w:tentative="0">
      <w:start w:val="1"/>
      <w:numFmt w:val="bullet"/>
      <w:lvlText w:val="o"/>
      <w:lvlJc w:val="left"/>
      <w:pPr>
        <w:tabs>
          <w:tab w:val="left" w:pos="840"/>
        </w:tabs>
        <w:ind w:left="6240" w:hanging="360"/>
      </w:pPr>
      <w:rPr>
        <w:rFonts w:hint="default" w:ascii="Courier New" w:hAnsi="Courier New" w:cs="Courier New"/>
      </w:rPr>
    </w:lvl>
    <w:lvl w:ilvl="8" w:tentative="0">
      <w:start w:val="1"/>
      <w:numFmt w:val="bullet"/>
      <w:lvlText w:val=""/>
      <w:lvlJc w:val="left"/>
      <w:pPr>
        <w:tabs>
          <w:tab w:val="left" w:pos="840"/>
        </w:tabs>
        <w:ind w:left="6960" w:hanging="360"/>
      </w:pPr>
      <w:rPr>
        <w:rFonts w:hint="default" w:ascii="Wingdings" w:hAnsi="Wingdings"/>
      </w:rPr>
    </w:lvl>
  </w:abstractNum>
  <w:abstractNum w:abstractNumId="9">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39C17B9"/>
    <w:multiLevelType w:val="singleLevel"/>
    <w:tmpl w:val="739C17B9"/>
    <w:lvl w:ilvl="0" w:tentative="0">
      <w:start w:val="1"/>
      <w:numFmt w:val="bullet"/>
      <w:lvlText w:val=""/>
      <w:lvlJc w:val="left"/>
      <w:pPr>
        <w:ind w:left="420" w:hanging="420"/>
      </w:pPr>
      <w:rPr>
        <w:rFonts w:hint="default" w:ascii="Wingdings" w:hAnsi="Wingdings"/>
      </w:rPr>
    </w:lvl>
  </w:abstractNum>
  <w:num w:numId="1">
    <w:abstractNumId w:val="9"/>
  </w:num>
  <w:num w:numId="2">
    <w:abstractNumId w:val="6"/>
  </w:num>
  <w:num w:numId="3">
    <w:abstractNumId w:val="3"/>
  </w:num>
  <w:num w:numId="4">
    <w:abstractNumId w:val="1"/>
  </w:num>
  <w:num w:numId="5">
    <w:abstractNumId w:val="8"/>
  </w:num>
  <w:num w:numId="6">
    <w:abstractNumId w:val="5"/>
  </w:num>
  <w:num w:numId="7">
    <w:abstractNumId w:val="2"/>
  </w:num>
  <w:num w:numId="8">
    <w:abstractNumId w:val="10"/>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5549"/>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4F447C1"/>
    <w:rsid w:val="05123449"/>
    <w:rsid w:val="05C42923"/>
    <w:rsid w:val="05E724AA"/>
    <w:rsid w:val="07CD3CDD"/>
    <w:rsid w:val="0855671D"/>
    <w:rsid w:val="09716BCA"/>
    <w:rsid w:val="09AD4F9D"/>
    <w:rsid w:val="09E644B8"/>
    <w:rsid w:val="0A487ABE"/>
    <w:rsid w:val="0BB0429A"/>
    <w:rsid w:val="0CB97ACD"/>
    <w:rsid w:val="0DBB01ED"/>
    <w:rsid w:val="0E8A2AC7"/>
    <w:rsid w:val="0EC815B9"/>
    <w:rsid w:val="0F446A2E"/>
    <w:rsid w:val="0F5F76E0"/>
    <w:rsid w:val="0F644A12"/>
    <w:rsid w:val="0F7F19AF"/>
    <w:rsid w:val="1419083F"/>
    <w:rsid w:val="14773990"/>
    <w:rsid w:val="1481754F"/>
    <w:rsid w:val="148A67E1"/>
    <w:rsid w:val="148F5721"/>
    <w:rsid w:val="14AC57CD"/>
    <w:rsid w:val="164514BE"/>
    <w:rsid w:val="16453D79"/>
    <w:rsid w:val="170F06AA"/>
    <w:rsid w:val="180A6E32"/>
    <w:rsid w:val="183F2CD2"/>
    <w:rsid w:val="18CD0507"/>
    <w:rsid w:val="1AD01A1B"/>
    <w:rsid w:val="1B7B4E35"/>
    <w:rsid w:val="1C177B08"/>
    <w:rsid w:val="1C4E28F6"/>
    <w:rsid w:val="1C9001C6"/>
    <w:rsid w:val="1CBA2101"/>
    <w:rsid w:val="1D0573D7"/>
    <w:rsid w:val="1D0B674C"/>
    <w:rsid w:val="1D153DC4"/>
    <w:rsid w:val="1D223E0B"/>
    <w:rsid w:val="1D2B14A2"/>
    <w:rsid w:val="1E853F6F"/>
    <w:rsid w:val="1EB32AA2"/>
    <w:rsid w:val="1ECC1E3C"/>
    <w:rsid w:val="1FDA0E82"/>
    <w:rsid w:val="20371001"/>
    <w:rsid w:val="21244EB1"/>
    <w:rsid w:val="21F13629"/>
    <w:rsid w:val="225A52C0"/>
    <w:rsid w:val="24122135"/>
    <w:rsid w:val="258F4033"/>
    <w:rsid w:val="25932BF9"/>
    <w:rsid w:val="265B50B5"/>
    <w:rsid w:val="26AE2CCC"/>
    <w:rsid w:val="26BB1419"/>
    <w:rsid w:val="27893AB2"/>
    <w:rsid w:val="281C12F4"/>
    <w:rsid w:val="29553F3A"/>
    <w:rsid w:val="29A05E8C"/>
    <w:rsid w:val="2A3916E1"/>
    <w:rsid w:val="2A7E505C"/>
    <w:rsid w:val="2B471816"/>
    <w:rsid w:val="2B954C89"/>
    <w:rsid w:val="2BA1692B"/>
    <w:rsid w:val="2BC05B2C"/>
    <w:rsid w:val="2BD617C5"/>
    <w:rsid w:val="2C112837"/>
    <w:rsid w:val="2CC146D3"/>
    <w:rsid w:val="2F2F0FC8"/>
    <w:rsid w:val="301C6BB6"/>
    <w:rsid w:val="31437A9E"/>
    <w:rsid w:val="31B14C9E"/>
    <w:rsid w:val="34331E65"/>
    <w:rsid w:val="34471EEA"/>
    <w:rsid w:val="34F80A7B"/>
    <w:rsid w:val="35B06C6A"/>
    <w:rsid w:val="36D37423"/>
    <w:rsid w:val="38726558"/>
    <w:rsid w:val="3A185287"/>
    <w:rsid w:val="3A692CD0"/>
    <w:rsid w:val="3B3B2DF3"/>
    <w:rsid w:val="3B673620"/>
    <w:rsid w:val="3B9A1F29"/>
    <w:rsid w:val="3C6D5868"/>
    <w:rsid w:val="3CE4646B"/>
    <w:rsid w:val="3D5E7AA8"/>
    <w:rsid w:val="3D6F2596"/>
    <w:rsid w:val="3E7D08ED"/>
    <w:rsid w:val="401B3A6B"/>
    <w:rsid w:val="405F175E"/>
    <w:rsid w:val="40C765F3"/>
    <w:rsid w:val="42F869D2"/>
    <w:rsid w:val="4300258F"/>
    <w:rsid w:val="43553536"/>
    <w:rsid w:val="44F46037"/>
    <w:rsid w:val="451632B9"/>
    <w:rsid w:val="453954E9"/>
    <w:rsid w:val="45F60A50"/>
    <w:rsid w:val="46B036BF"/>
    <w:rsid w:val="47282363"/>
    <w:rsid w:val="49E55BC5"/>
    <w:rsid w:val="4A796308"/>
    <w:rsid w:val="4B30128C"/>
    <w:rsid w:val="4C1C63D6"/>
    <w:rsid w:val="4C2528EF"/>
    <w:rsid w:val="4C864A35"/>
    <w:rsid w:val="4D321410"/>
    <w:rsid w:val="4E015C76"/>
    <w:rsid w:val="4E4A2325"/>
    <w:rsid w:val="501A6C55"/>
    <w:rsid w:val="50E3745A"/>
    <w:rsid w:val="519A6ACC"/>
    <w:rsid w:val="51B14BED"/>
    <w:rsid w:val="52280006"/>
    <w:rsid w:val="525C1CEF"/>
    <w:rsid w:val="52F41789"/>
    <w:rsid w:val="53C64B93"/>
    <w:rsid w:val="53F07453"/>
    <w:rsid w:val="55B1164D"/>
    <w:rsid w:val="55B4735E"/>
    <w:rsid w:val="56371459"/>
    <w:rsid w:val="56875C1B"/>
    <w:rsid w:val="58A10C72"/>
    <w:rsid w:val="59DA647E"/>
    <w:rsid w:val="5A556E1A"/>
    <w:rsid w:val="5BB306CC"/>
    <w:rsid w:val="5D8941DA"/>
    <w:rsid w:val="5D982E42"/>
    <w:rsid w:val="5EB44FC0"/>
    <w:rsid w:val="5FBA395F"/>
    <w:rsid w:val="62B047E1"/>
    <w:rsid w:val="635902CD"/>
    <w:rsid w:val="64706BBE"/>
    <w:rsid w:val="64F2095B"/>
    <w:rsid w:val="66770492"/>
    <w:rsid w:val="67052A96"/>
    <w:rsid w:val="671A4BC2"/>
    <w:rsid w:val="67A858DB"/>
    <w:rsid w:val="691B180A"/>
    <w:rsid w:val="691F2D87"/>
    <w:rsid w:val="69A833BD"/>
    <w:rsid w:val="6DDE3DAF"/>
    <w:rsid w:val="6DE05144"/>
    <w:rsid w:val="6F160B9A"/>
    <w:rsid w:val="6FE94925"/>
    <w:rsid w:val="70540BC6"/>
    <w:rsid w:val="707C055E"/>
    <w:rsid w:val="70814FA6"/>
    <w:rsid w:val="715F4C2D"/>
    <w:rsid w:val="71844714"/>
    <w:rsid w:val="72BF60CA"/>
    <w:rsid w:val="7522275B"/>
    <w:rsid w:val="752872FE"/>
    <w:rsid w:val="753811DE"/>
    <w:rsid w:val="75A17C8F"/>
    <w:rsid w:val="75BE67D4"/>
    <w:rsid w:val="75C759C1"/>
    <w:rsid w:val="762D64F3"/>
    <w:rsid w:val="775B4604"/>
    <w:rsid w:val="77C067C3"/>
    <w:rsid w:val="77C6011D"/>
    <w:rsid w:val="78141A2A"/>
    <w:rsid w:val="78911E31"/>
    <w:rsid w:val="7A076CB0"/>
    <w:rsid w:val="7A9367CB"/>
    <w:rsid w:val="7AEC3E2E"/>
    <w:rsid w:val="7AF22571"/>
    <w:rsid w:val="7BD71373"/>
    <w:rsid w:val="7C1C35A7"/>
    <w:rsid w:val="7C45431D"/>
    <w:rsid w:val="7C5B0E57"/>
    <w:rsid w:val="7C855657"/>
    <w:rsid w:val="7CE6742C"/>
    <w:rsid w:val="7DDD0501"/>
    <w:rsid w:val="7DE541D2"/>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29"/>
    <w:semiHidden/>
    <w:unhideWhenUsed/>
    <w:qFormat/>
    <w:uiPriority w:val="99"/>
    <w:rPr>
      <w:rFonts w:ascii="宋体" w:eastAsia="宋体"/>
      <w:sz w:val="18"/>
      <w:szCs w:val="18"/>
    </w:rPr>
  </w:style>
  <w:style w:type="paragraph" w:styleId="10">
    <w:name w:val="annotation text"/>
    <w:basedOn w:val="1"/>
    <w:semiHidden/>
    <w:unhideWhenUsed/>
    <w:qFormat/>
    <w:uiPriority w:val="99"/>
    <w:pPr>
      <w:jc w:val="left"/>
    </w:pPr>
  </w:style>
  <w:style w:type="paragraph" w:styleId="11">
    <w:name w:val="Body Text"/>
    <w:basedOn w:val="1"/>
    <w:link w:val="23"/>
    <w:qFormat/>
    <w:uiPriority w:val="0"/>
    <w:pPr>
      <w:spacing w:after="120"/>
      <w:jc w:val="both"/>
    </w:pPr>
    <w:rPr>
      <w:rFonts w:eastAsia="MS Mincho"/>
      <w:lang w:val="zh-CN"/>
    </w:r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9"/>
    <w:semiHidden/>
    <w:qFormat/>
    <w:uiPriority w:val="99"/>
    <w:rPr>
      <w:rFonts w:ascii="宋体" w:hAnsi="Times New Roman"/>
      <w:sz w:val="18"/>
      <w:szCs w:val="18"/>
      <w:lang w:eastAsia="en-US"/>
    </w:rPr>
  </w:style>
  <w:style w:type="paragraph" w:customStyle="1" w:styleId="30">
    <w:name w:val="B1"/>
    <w:basedOn w:val="7"/>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8"/>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6"/>
    <w:qFormat/>
    <w:uiPriority w:val="0"/>
  </w:style>
  <w:style w:type="paragraph" w:customStyle="1" w:styleId="55">
    <w:name w:val="B3"/>
    <w:basedOn w:val="5"/>
    <w:qFormat/>
    <w:uiPriority w:val="0"/>
  </w:style>
  <w:style w:type="paragraph" w:customStyle="1" w:styleId="56">
    <w:name w:val="TAN"/>
    <w:basedOn w:val="35"/>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2022-01-10T02:45:46Z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